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300"/>
        <w:spacing w:after="0"/>
        <w:rPr>
          <w:sz w:val="20"/>
          <w:szCs w:val="20"/>
          <w:color w:val="auto"/>
        </w:rPr>
      </w:pPr>
      <w:r>
        <w:rPr>
          <w:rFonts w:ascii="Arial" w:cs="Arial" w:eastAsia="Arial" w:hAnsi="Arial"/>
          <w:sz w:val="16"/>
          <w:szCs w:val="16"/>
          <w:color w:val="auto"/>
        </w:rPr>
        <w:t>___________________________________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7" w:lineRule="exact"/>
        <w:rPr>
          <w:sz w:val="24"/>
          <w:szCs w:val="24"/>
          <w:color w:val="auto"/>
        </w:rPr>
      </w:pPr>
    </w:p>
    <w:p>
      <w:pPr>
        <w:ind w:left="5020"/>
        <w:spacing w:after="0"/>
        <w:rPr>
          <w:sz w:val="20"/>
          <w:szCs w:val="20"/>
          <w:color w:val="auto"/>
        </w:rPr>
      </w:pPr>
      <w:r>
        <w:rPr>
          <w:rFonts w:ascii="Arial" w:cs="Arial" w:eastAsia="Arial" w:hAnsi="Arial"/>
          <w:sz w:val="11"/>
          <w:szCs w:val="11"/>
          <w:color w:val="auto"/>
        </w:rPr>
        <w:t>__________________________</w:t>
      </w:r>
    </w:p>
    <w:p>
      <w:pPr>
        <w:spacing w:after="0" w:line="136" w:lineRule="exact"/>
        <w:rPr>
          <w:sz w:val="24"/>
          <w:szCs w:val="24"/>
          <w:color w:val="auto"/>
        </w:rPr>
      </w:pPr>
    </w:p>
    <w:p>
      <w:pPr>
        <w:ind w:left="1420" w:hanging="206"/>
        <w:spacing w:after="0"/>
        <w:tabs>
          <w:tab w:leader="none" w:pos="142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50"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For the fiscal year ended December 31, 2015</w:t>
      </w:r>
    </w:p>
    <w:p>
      <w:pPr>
        <w:spacing w:after="0" w:line="4" w:lineRule="exact"/>
        <w:rPr>
          <w:sz w:val="24"/>
          <w:szCs w:val="24"/>
          <w:color w:val="auto"/>
        </w:rPr>
      </w:pPr>
    </w:p>
    <w:p>
      <w:pPr>
        <w:ind w:left="5620"/>
        <w:spacing w:after="0"/>
        <w:rPr>
          <w:sz w:val="20"/>
          <w:szCs w:val="20"/>
          <w:color w:val="auto"/>
        </w:rPr>
      </w:pPr>
      <w:r>
        <w:rPr>
          <w:rFonts w:ascii="Arial" w:cs="Arial" w:eastAsia="Arial" w:hAnsi="Arial"/>
          <w:sz w:val="14"/>
          <w:szCs w:val="14"/>
          <w:b w:val="1"/>
          <w:bCs w:val="1"/>
          <w:color w:val="auto"/>
        </w:rPr>
        <w:t>or</w:t>
      </w:r>
    </w:p>
    <w:p>
      <w:pPr>
        <w:spacing w:after="0" w:line="134" w:lineRule="exact"/>
        <w:rPr>
          <w:sz w:val="24"/>
          <w:szCs w:val="24"/>
          <w:color w:val="auto"/>
        </w:rPr>
      </w:pPr>
    </w:p>
    <w:p>
      <w:pPr>
        <w:ind w:left="1420" w:hanging="206"/>
        <w:spacing w:after="0"/>
        <w:tabs>
          <w:tab w:leader="none" w:pos="142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5" w:lineRule="exact"/>
        <w:rPr>
          <w:sz w:val="24"/>
          <w:szCs w:val="24"/>
          <w:color w:val="auto"/>
        </w:rPr>
      </w:pPr>
    </w:p>
    <w:p>
      <w:pPr>
        <w:ind w:left="424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3895090</wp:posOffset>
            </wp:positionH>
            <wp:positionV relativeFrom="paragraph">
              <wp:posOffset>-8255</wp:posOffset>
            </wp:positionV>
            <wp:extent cx="669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7760" w:type="dxa"/>
            <w:vAlign w:val="bottom"/>
            <w:gridSpan w:val="3"/>
          </w:tcPr>
          <w:p>
            <w:pPr>
              <w:jc w:val="center"/>
              <w:ind w:left="3608"/>
              <w:spacing w:after="0"/>
              <w:rPr>
                <w:sz w:val="20"/>
                <w:szCs w:val="20"/>
                <w:color w:val="auto"/>
              </w:rPr>
            </w:pPr>
            <w:r>
              <w:rPr>
                <w:rFonts w:ascii="Arial" w:cs="Arial" w:eastAsia="Arial" w:hAnsi="Arial"/>
                <w:sz w:val="14"/>
                <w:szCs w:val="14"/>
                <w:b w:val="1"/>
                <w:bCs w:val="1"/>
                <w:color w:val="auto"/>
                <w:w w:val="93"/>
              </w:rPr>
              <w:t>Commission File Number 001-16441</w:t>
            </w: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82"/>
        </w:trPr>
        <w:tc>
          <w:tcPr>
            <w:tcW w:w="7760" w:type="dxa"/>
            <w:vAlign w:val="bottom"/>
            <w:gridSpan w:val="3"/>
          </w:tcPr>
          <w:p>
            <w:pPr>
              <w:jc w:val="right"/>
              <w:ind w:right="1100"/>
              <w:spacing w:after="0"/>
              <w:rPr>
                <w:sz w:val="20"/>
                <w:szCs w:val="20"/>
                <w:color w:val="auto"/>
              </w:rPr>
            </w:pPr>
            <w:r>
              <w:rPr>
                <w:rFonts w:ascii="Arial" w:cs="Arial" w:eastAsia="Arial" w:hAnsi="Arial"/>
                <w:sz w:val="14"/>
                <w:szCs w:val="14"/>
                <w:color w:val="auto"/>
              </w:rPr>
              <w:t>__________________________</w:t>
            </w:r>
          </w:p>
        </w:tc>
        <w:tc>
          <w:tcPr>
            <w:tcW w:w="24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584"/>
        </w:trPr>
        <w:tc>
          <w:tcPr>
            <w:tcW w:w="7760" w:type="dxa"/>
            <w:vAlign w:val="bottom"/>
            <w:gridSpan w:val="3"/>
          </w:tcPr>
          <w:p>
            <w:pPr>
              <w:jc w:val="center"/>
              <w:ind w:left="3588"/>
              <w:spacing w:after="0"/>
              <w:rPr>
                <w:sz w:val="20"/>
                <w:szCs w:val="20"/>
                <w:color w:val="auto"/>
              </w:rPr>
            </w:pPr>
            <w:r>
              <w:rPr>
                <w:rFonts w:ascii="Arial" w:cs="Arial" w:eastAsia="Arial" w:hAnsi="Arial"/>
                <w:sz w:val="14"/>
                <w:szCs w:val="14"/>
                <w:b w:val="1"/>
                <w:bCs w:val="1"/>
                <w:color w:val="auto"/>
              </w:rPr>
              <w:t>CROWN CASTLE INTERNATIONAL CORP.</w:t>
            </w: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66"/>
        </w:trPr>
        <w:tc>
          <w:tcPr>
            <w:tcW w:w="7760" w:type="dxa"/>
            <w:vAlign w:val="bottom"/>
            <w:gridSpan w:val="3"/>
          </w:tcPr>
          <w:p>
            <w:pPr>
              <w:jc w:val="center"/>
              <w:ind w:left="358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82"/>
        </w:trPr>
        <w:tc>
          <w:tcPr>
            <w:tcW w:w="7760" w:type="dxa"/>
            <w:vAlign w:val="bottom"/>
            <w:gridSpan w:val="3"/>
          </w:tcPr>
          <w:p>
            <w:pPr>
              <w:jc w:val="right"/>
              <w:ind w:right="1120"/>
              <w:spacing w:after="0"/>
              <w:rPr>
                <w:sz w:val="20"/>
                <w:szCs w:val="20"/>
                <w:color w:val="auto"/>
              </w:rPr>
            </w:pPr>
            <w:r>
              <w:rPr>
                <w:rFonts w:ascii="Arial" w:cs="Arial" w:eastAsia="Arial" w:hAnsi="Arial"/>
                <w:sz w:val="14"/>
                <w:szCs w:val="14"/>
                <w:color w:val="auto"/>
              </w:rPr>
              <w:t>__________________________</w:t>
            </w:r>
          </w:p>
        </w:tc>
        <w:tc>
          <w:tcPr>
            <w:tcW w:w="24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324"/>
        </w:trPr>
        <w:tc>
          <w:tcPr>
            <w:tcW w:w="776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w w:val="94"/>
              </w:rPr>
              <w:t>Delaware</w:t>
            </w:r>
          </w:p>
        </w:tc>
        <w:tc>
          <w:tcPr>
            <w:tcW w:w="240" w:type="dxa"/>
            <w:vAlign w:val="bottom"/>
          </w:tcPr>
          <w:p>
            <w:pPr>
              <w:spacing w:after="0"/>
              <w:rPr>
                <w:sz w:val="24"/>
                <w:szCs w:val="24"/>
                <w:color w:val="auto"/>
              </w:rPr>
            </w:pPr>
          </w:p>
        </w:tc>
        <w:tc>
          <w:tcPr>
            <w:tcW w:w="3400" w:type="dxa"/>
            <w:vAlign w:val="bottom"/>
          </w:tcPr>
          <w:p>
            <w:pPr>
              <w:jc w:val="center"/>
              <w:ind w:right="1988"/>
              <w:spacing w:after="0"/>
              <w:rPr>
                <w:sz w:val="20"/>
                <w:szCs w:val="20"/>
                <w:color w:val="auto"/>
              </w:rPr>
            </w:pPr>
            <w:r>
              <w:rPr>
                <w:rFonts w:ascii="Arial" w:cs="Arial" w:eastAsia="Arial" w:hAnsi="Arial"/>
                <w:sz w:val="14"/>
                <w:szCs w:val="14"/>
                <w:b w:val="1"/>
                <w:bCs w:val="1"/>
                <w:color w:val="auto"/>
                <w:w w:val="93"/>
              </w:rPr>
              <w:t>76-0470458</w:t>
            </w:r>
          </w:p>
        </w:tc>
      </w:tr>
      <w:tr>
        <w:trPr>
          <w:trHeight w:val="165"/>
        </w:trPr>
        <w:tc>
          <w:tcPr>
            <w:tcW w:w="776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3"/>
              </w:rPr>
              <w:t>(State or other jurisdiction</w:t>
            </w:r>
          </w:p>
        </w:tc>
        <w:tc>
          <w:tcPr>
            <w:tcW w:w="240" w:type="dxa"/>
            <w:vAlign w:val="bottom"/>
          </w:tcPr>
          <w:p>
            <w:pPr>
              <w:spacing w:after="0"/>
              <w:rPr>
                <w:sz w:val="14"/>
                <w:szCs w:val="14"/>
                <w:color w:val="auto"/>
              </w:rPr>
            </w:pPr>
          </w:p>
        </w:tc>
        <w:tc>
          <w:tcPr>
            <w:tcW w:w="3400" w:type="dxa"/>
            <w:vAlign w:val="bottom"/>
          </w:tcPr>
          <w:p>
            <w:pPr>
              <w:jc w:val="center"/>
              <w:ind w:right="20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776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3"/>
              </w:rPr>
              <w:t>of incorporation or organization)</w:t>
            </w:r>
          </w:p>
        </w:tc>
        <w:tc>
          <w:tcPr>
            <w:tcW w:w="240" w:type="dxa"/>
            <w:vAlign w:val="bottom"/>
          </w:tcPr>
          <w:p>
            <w:pPr>
              <w:spacing w:after="0"/>
              <w:rPr>
                <w:sz w:val="16"/>
                <w:szCs w:val="16"/>
                <w:color w:val="auto"/>
              </w:rPr>
            </w:pPr>
          </w:p>
        </w:tc>
        <w:tc>
          <w:tcPr>
            <w:tcW w:w="3400" w:type="dxa"/>
            <w:vAlign w:val="bottom"/>
          </w:tcPr>
          <w:p>
            <w:pPr>
              <w:jc w:val="center"/>
              <w:ind w:right="2008"/>
              <w:spacing w:after="0"/>
              <w:rPr>
                <w:sz w:val="20"/>
                <w:szCs w:val="20"/>
                <w:color w:val="auto"/>
              </w:rPr>
            </w:pPr>
            <w:r>
              <w:rPr>
                <w:rFonts w:ascii="Arial" w:cs="Arial" w:eastAsia="Arial" w:hAnsi="Arial"/>
                <w:sz w:val="14"/>
                <w:szCs w:val="14"/>
                <w:b w:val="1"/>
                <w:bCs w:val="1"/>
                <w:color w:val="auto"/>
                <w:w w:val="94"/>
              </w:rPr>
              <w:t>Identification No.)</w:t>
            </w:r>
          </w:p>
        </w:tc>
      </w:tr>
      <w:tr>
        <w:trPr>
          <w:trHeight w:val="365"/>
        </w:trPr>
        <w:tc>
          <w:tcPr>
            <w:tcW w:w="7760" w:type="dxa"/>
            <w:vAlign w:val="bottom"/>
            <w:gridSpan w:val="3"/>
          </w:tcPr>
          <w:p>
            <w:pPr>
              <w:jc w:val="center"/>
              <w:ind w:left="3568"/>
              <w:spacing w:after="0"/>
              <w:rPr>
                <w:sz w:val="20"/>
                <w:szCs w:val="20"/>
                <w:color w:val="auto"/>
              </w:rPr>
            </w:pPr>
            <w:r>
              <w:rPr>
                <w:rFonts w:ascii="Arial" w:cs="Arial" w:eastAsia="Arial" w:hAnsi="Arial"/>
                <w:sz w:val="14"/>
                <w:szCs w:val="14"/>
                <w:b w:val="1"/>
                <w:bCs w:val="1"/>
                <w:color w:val="auto"/>
                <w:w w:val="92"/>
              </w:rPr>
              <w:t>1220 Augusta Drive, Suite 600, Houston Texas 77057-2261</w:t>
            </w: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92"/>
        </w:trPr>
        <w:tc>
          <w:tcPr>
            <w:tcW w:w="7760" w:type="dxa"/>
            <w:vAlign w:val="bottom"/>
            <w:gridSpan w:val="3"/>
          </w:tcPr>
          <w:p>
            <w:pPr>
              <w:jc w:val="center"/>
              <w:ind w:left="356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4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62"/>
        </w:trPr>
        <w:tc>
          <w:tcPr>
            <w:tcW w:w="776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(713) 570-3000</w:t>
            </w: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86"/>
        </w:trPr>
        <w:tc>
          <w:tcPr>
            <w:tcW w:w="7760" w:type="dxa"/>
            <w:vAlign w:val="bottom"/>
            <w:gridSpan w:val="3"/>
          </w:tcPr>
          <w:p>
            <w:pPr>
              <w:jc w:val="center"/>
              <w:ind w:left="356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86"/>
        </w:trPr>
        <w:tc>
          <w:tcPr>
            <w:tcW w:w="776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0"/>
              </w:rPr>
              <w:t>Securities Registered Pursuant to</w:t>
            </w:r>
          </w:p>
        </w:tc>
        <w:tc>
          <w:tcPr>
            <w:tcW w:w="3640" w:type="dxa"/>
            <w:vAlign w:val="bottom"/>
            <w:gridSpan w:val="2"/>
          </w:tcPr>
          <w:p>
            <w:pPr>
              <w:jc w:val="center"/>
              <w:ind w:right="1748"/>
              <w:spacing w:after="0"/>
              <w:rPr>
                <w:sz w:val="20"/>
                <w:szCs w:val="20"/>
                <w:color w:val="auto"/>
              </w:rPr>
            </w:pPr>
            <w:r>
              <w:rPr>
                <w:rFonts w:ascii="Arial" w:cs="Arial" w:eastAsia="Arial" w:hAnsi="Arial"/>
                <w:sz w:val="14"/>
                <w:szCs w:val="14"/>
                <w:b w:val="1"/>
                <w:bCs w:val="1"/>
                <w:color w:val="auto"/>
                <w:w w:val="92"/>
              </w:rPr>
              <w:t>Name of Each Exchange</w:t>
            </w:r>
          </w:p>
        </w:tc>
      </w:tr>
      <w:tr>
        <w:trPr>
          <w:trHeight w:val="192"/>
        </w:trPr>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Section 12(b) of the Act</w:t>
            </w:r>
          </w:p>
        </w:tc>
        <w:tc>
          <w:tcPr>
            <w:tcW w:w="46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center"/>
              <w:ind w:right="2008"/>
              <w:spacing w:after="0"/>
              <w:rPr>
                <w:sz w:val="20"/>
                <w:szCs w:val="20"/>
                <w:color w:val="auto"/>
              </w:rPr>
            </w:pPr>
            <w:r>
              <w:rPr>
                <w:rFonts w:ascii="Arial" w:cs="Arial" w:eastAsia="Arial" w:hAnsi="Arial"/>
                <w:sz w:val="14"/>
                <w:szCs w:val="14"/>
                <w:b w:val="1"/>
                <w:bCs w:val="1"/>
                <w:color w:val="auto"/>
                <w:w w:val="91"/>
              </w:rPr>
              <w:t>on Which Registered</w:t>
            </w:r>
          </w:p>
        </w:tc>
      </w:tr>
      <w:tr>
        <w:trPr>
          <w:trHeight w:val="190"/>
        </w:trPr>
        <w:tc>
          <w:tcPr>
            <w:tcW w:w="7760" w:type="dxa"/>
            <w:vAlign w:val="bottom"/>
            <w:gridSpan w:val="3"/>
          </w:tcPr>
          <w:p>
            <w:pPr>
              <w:jc w:val="center"/>
              <w:ind w:right="2280"/>
              <w:spacing w:after="0"/>
              <w:rPr>
                <w:sz w:val="20"/>
                <w:szCs w:val="20"/>
                <w:color w:val="auto"/>
              </w:rPr>
            </w:pPr>
            <w:r>
              <w:rPr>
                <w:rFonts w:ascii="Arial" w:cs="Arial" w:eastAsia="Arial" w:hAnsi="Arial"/>
                <w:sz w:val="14"/>
                <w:szCs w:val="14"/>
                <w:color w:val="auto"/>
                <w:w w:val="93"/>
              </w:rPr>
              <w:t>Common Stock, $.01 par value</w:t>
            </w:r>
          </w:p>
        </w:tc>
        <w:tc>
          <w:tcPr>
            <w:tcW w:w="3640" w:type="dxa"/>
            <w:vAlign w:val="bottom"/>
            <w:gridSpan w:val="2"/>
          </w:tcPr>
          <w:p>
            <w:pPr>
              <w:jc w:val="center"/>
              <w:ind w:right="1768"/>
              <w:spacing w:after="0"/>
              <w:rPr>
                <w:sz w:val="20"/>
                <w:szCs w:val="20"/>
                <w:color w:val="auto"/>
              </w:rPr>
            </w:pPr>
            <w:r>
              <w:rPr>
                <w:rFonts w:ascii="Arial" w:cs="Arial" w:eastAsia="Arial" w:hAnsi="Arial"/>
                <w:sz w:val="14"/>
                <w:szCs w:val="14"/>
                <w:color w:val="auto"/>
                <w:w w:val="94"/>
              </w:rPr>
              <w:t>New York Stock Exchange</w:t>
            </w:r>
          </w:p>
        </w:tc>
      </w:tr>
      <w:tr>
        <w:trPr>
          <w:trHeight w:val="192"/>
        </w:trPr>
        <w:tc>
          <w:tcPr>
            <w:tcW w:w="7760" w:type="dxa"/>
            <w:vAlign w:val="bottom"/>
            <w:gridSpan w:val="3"/>
          </w:tcPr>
          <w:p>
            <w:pPr>
              <w:jc w:val="center"/>
              <w:ind w:right="2260"/>
              <w:spacing w:after="0"/>
              <w:rPr>
                <w:sz w:val="20"/>
                <w:szCs w:val="20"/>
                <w:color w:val="auto"/>
              </w:rPr>
            </w:pPr>
            <w:r>
              <w:rPr>
                <w:rFonts w:ascii="Arial" w:cs="Arial" w:eastAsia="Arial" w:hAnsi="Arial"/>
                <w:sz w:val="14"/>
                <w:szCs w:val="14"/>
                <w:color w:val="auto"/>
                <w:w w:val="93"/>
              </w:rPr>
              <w:t>4.50% Mandatory Convertible Preferred Stock, Series A, $.01 par value</w:t>
            </w:r>
          </w:p>
        </w:tc>
        <w:tc>
          <w:tcPr>
            <w:tcW w:w="3640" w:type="dxa"/>
            <w:vAlign w:val="bottom"/>
            <w:gridSpan w:val="2"/>
          </w:tcPr>
          <w:p>
            <w:pPr>
              <w:jc w:val="center"/>
              <w:ind w:right="1768"/>
              <w:spacing w:after="0"/>
              <w:rPr>
                <w:sz w:val="20"/>
                <w:szCs w:val="20"/>
                <w:color w:val="auto"/>
              </w:rPr>
            </w:pPr>
            <w:r>
              <w:rPr>
                <w:rFonts w:ascii="Arial" w:cs="Arial" w:eastAsia="Arial" w:hAnsi="Arial"/>
                <w:sz w:val="14"/>
                <w:szCs w:val="14"/>
                <w:color w:val="auto"/>
                <w:w w:val="94"/>
              </w:rPr>
              <w:t>New York Stock Exchange</w:t>
            </w:r>
          </w:p>
        </w:tc>
      </w:tr>
      <w:tr>
        <w:trPr>
          <w:trHeight w:val="171"/>
        </w:trPr>
        <w:tc>
          <w:tcPr>
            <w:tcW w:w="7760" w:type="dxa"/>
            <w:vAlign w:val="bottom"/>
            <w:gridSpan w:val="3"/>
          </w:tcPr>
          <w:p>
            <w:pPr>
              <w:jc w:val="center"/>
              <w:ind w:left="3588"/>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0"/>
        </w:trPr>
        <w:tc>
          <w:tcPr>
            <w:tcW w:w="7760" w:type="dxa"/>
            <w:vAlign w:val="bottom"/>
            <w:gridSpan w:val="3"/>
          </w:tcPr>
          <w:p>
            <w:pPr>
              <w:jc w:val="right"/>
              <w:ind w:right="840"/>
              <w:spacing w:after="0"/>
              <w:rPr>
                <w:sz w:val="20"/>
                <w:szCs w:val="20"/>
                <w:color w:val="auto"/>
              </w:rPr>
            </w:pPr>
            <w:r>
              <w:rPr>
                <w:rFonts w:ascii="Arial" w:cs="Arial" w:eastAsia="Arial" w:hAnsi="Arial"/>
                <w:sz w:val="13"/>
                <w:szCs w:val="13"/>
                <w:color w:val="auto"/>
              </w:rPr>
              <w:t>______________________________________</w:t>
            </w:r>
          </w:p>
        </w:tc>
        <w:tc>
          <w:tcPr>
            <w:tcW w:w="24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234"/>
        </w:trPr>
        <w:tc>
          <w:tcPr>
            <w:tcW w:w="7760" w:type="dxa"/>
            <w:vAlign w:val="bottom"/>
            <w:gridSpan w:val="3"/>
          </w:tcPr>
          <w:p>
            <w:pPr>
              <w:ind w:left="42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  Yes x</w:t>
            </w:r>
          </w:p>
        </w:tc>
        <w:tc>
          <w:tcPr>
            <w:tcW w:w="240" w:type="dxa"/>
            <w:vAlign w:val="bottom"/>
          </w:tcPr>
          <w:p>
            <w:pPr>
              <w:ind w:left="40"/>
              <w:spacing w:after="0"/>
              <w:rPr>
                <w:sz w:val="20"/>
                <w:szCs w:val="20"/>
                <w:color w:val="auto"/>
              </w:rPr>
            </w:pPr>
            <w:r>
              <w:rPr>
                <w:rFonts w:ascii="Arial" w:cs="Arial" w:eastAsia="Arial" w:hAnsi="Arial"/>
                <w:sz w:val="14"/>
                <w:szCs w:val="14"/>
                <w:color w:val="auto"/>
              </w:rPr>
              <w:t>No</w:t>
            </w:r>
          </w:p>
        </w:tc>
        <w:tc>
          <w:tcPr>
            <w:tcW w:w="3400" w:type="dxa"/>
            <w:vAlign w:val="bottom"/>
          </w:tcPr>
          <w:p>
            <w:pPr>
              <w:ind w:left="60"/>
              <w:spacing w:after="0"/>
              <w:rPr>
                <w:sz w:val="20"/>
                <w:szCs w:val="20"/>
                <w:color w:val="auto"/>
              </w:rPr>
            </w:pPr>
            <w:r>
              <w:rPr>
                <w:rFonts w:ascii="Arial" w:cs="Arial" w:eastAsia="Arial" w:hAnsi="Arial"/>
                <w:sz w:val="14"/>
                <w:szCs w:val="14"/>
                <w:color w:val="auto"/>
              </w:rPr>
              <w:t>o</w:t>
            </w:r>
          </w:p>
        </w:tc>
      </w:tr>
      <w:tr>
        <w:trPr>
          <w:trHeight w:val="230"/>
        </w:trPr>
        <w:tc>
          <w:tcPr>
            <w:tcW w:w="7760" w:type="dxa"/>
            <w:vAlign w:val="bottom"/>
            <w:gridSpan w:val="3"/>
          </w:tcPr>
          <w:p>
            <w:pPr>
              <w:ind w:left="420"/>
              <w:spacing w:after="0"/>
              <w:rPr>
                <w:sz w:val="20"/>
                <w:szCs w:val="20"/>
                <w:color w:val="auto"/>
              </w:rPr>
            </w:pPr>
            <w:r>
              <w:rPr>
                <w:rFonts w:ascii="Arial" w:cs="Arial" w:eastAsia="Arial" w:hAnsi="Arial"/>
                <w:sz w:val="14"/>
                <w:szCs w:val="14"/>
                <w:color w:val="auto"/>
                <w:w w:val="94"/>
              </w:rPr>
              <w:t>Indicated by check mark if the registrant is not required to file reports pursuant to Section 13 or Section 15(d) of the Act.  Yes</w:t>
            </w:r>
          </w:p>
        </w:tc>
        <w:tc>
          <w:tcPr>
            <w:tcW w:w="240" w:type="dxa"/>
            <w:vAlign w:val="bottom"/>
          </w:tcPr>
          <w:p>
            <w:pPr>
              <w:ind w:left="40"/>
              <w:spacing w:after="0"/>
              <w:rPr>
                <w:sz w:val="20"/>
                <w:szCs w:val="20"/>
                <w:color w:val="auto"/>
              </w:rPr>
            </w:pPr>
            <w:r>
              <w:rPr>
                <w:rFonts w:ascii="Arial" w:cs="Arial" w:eastAsia="Arial" w:hAnsi="Arial"/>
                <w:sz w:val="14"/>
                <w:szCs w:val="14"/>
                <w:color w:val="auto"/>
              </w:rPr>
              <w:t>o</w:t>
            </w:r>
          </w:p>
        </w:tc>
        <w:tc>
          <w:tcPr>
            <w:tcW w:w="3400" w:type="dxa"/>
            <w:vAlign w:val="bottom"/>
          </w:tcPr>
          <w:p>
            <w:pPr>
              <w:spacing w:after="0"/>
              <w:rPr>
                <w:sz w:val="20"/>
                <w:szCs w:val="20"/>
                <w:color w:val="auto"/>
              </w:rPr>
            </w:pPr>
            <w:r>
              <w:rPr>
                <w:rFonts w:ascii="Arial" w:cs="Arial" w:eastAsia="Arial" w:hAnsi="Arial"/>
                <w:sz w:val="14"/>
                <w:szCs w:val="14"/>
                <w:color w:val="auto"/>
              </w:rPr>
              <w:t>No 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3409950</wp:posOffset>
            </wp:positionH>
            <wp:positionV relativeFrom="paragraph">
              <wp:posOffset>-2658745</wp:posOffset>
            </wp:positionV>
            <wp:extent cx="445770"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5770" cy="248920"/>
                    </a:xfrm>
                    <a:prstGeom prst="rect">
                      <a:avLst/>
                    </a:prstGeom>
                    <a:noFill/>
                  </pic:spPr>
                </pic:pic>
              </a:graphicData>
            </a:graphic>
          </wp:anchor>
        </w:drawing>
      </w:r>
    </w:p>
    <w:p>
      <w:pPr>
        <w:spacing w:after="0" w:line="27"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 w:lineRule="exact"/>
        <w:rPr>
          <w:sz w:val="24"/>
          <w:szCs w:val="24"/>
          <w:color w:val="auto"/>
        </w:rPr>
      </w:pPr>
    </w:p>
    <w:p>
      <w:pPr>
        <w:jc w:val="both"/>
        <w:ind w:firstLine="405"/>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3"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5" w:lineRule="exact"/>
        <w:rPr>
          <w:sz w:val="24"/>
          <w:szCs w:val="24"/>
          <w:color w:val="auto"/>
        </w:rPr>
      </w:pPr>
    </w:p>
    <w:p>
      <w:pPr>
        <w:jc w:val="both"/>
        <w:ind w:firstLine="405"/>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 reporting company. See definitions of a "large accelerated filer," "accelerated filer" and "smaller reporting company" in rule 12B-2 of the Exchange Act. Large accelerated filer x Accelerated filer o Non-accelerated filer o Smaller reporting company o</w:t>
      </w:r>
    </w:p>
    <w:p>
      <w:pPr>
        <w:spacing w:after="0" w:line="37" w:lineRule="exact"/>
        <w:rPr>
          <w:sz w:val="24"/>
          <w:szCs w:val="24"/>
          <w:color w:val="auto"/>
        </w:rPr>
      </w:pPr>
    </w:p>
    <w:p>
      <w:pPr>
        <w:ind w:left="420"/>
        <w:spacing w:after="0"/>
        <w:tabs>
          <w:tab w:leader="none" w:pos="6460" w:val="left"/>
          <w:tab w:leader="none" w:pos="69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 o</w:t>
        <w:tab/>
        <w:t>No x</w:t>
      </w:r>
    </w:p>
    <w:p>
      <w:pPr>
        <w:spacing w:after="0" w:line="69"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$26.6 billion as of June 30, 2015, the last business day of the registrant's most recently completed second fiscal quarter, based on the New York Stock Exchange closing price on that day of $80.30 per share.</w:t>
      </w:r>
    </w:p>
    <w:p>
      <w:pPr>
        <w:spacing w:after="0" w:line="8"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Applicable Only to Corporate Registrants</w:t>
      </w:r>
    </w:p>
    <w:p>
      <w:pPr>
        <w:spacing w:after="0" w:line="5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As of February 15, 2016 there were 333,768,610 shares of common stock outstanding.</w:t>
      </w:r>
    </w:p>
    <w:p>
      <w:pPr>
        <w:spacing w:after="0" w:line="51"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both"/>
        <w:ind w:firstLine="405"/>
        <w:spacing w:after="0" w:line="257" w:lineRule="auto"/>
        <w:rPr>
          <w:sz w:val="20"/>
          <w:szCs w:val="20"/>
          <w:color w:val="auto"/>
        </w:rPr>
      </w:pPr>
      <w:r>
        <w:rPr>
          <w:rFonts w:ascii="Arial" w:cs="Arial" w:eastAsia="Arial" w:hAnsi="Arial"/>
          <w:sz w:val="14"/>
          <w:szCs w:val="14"/>
          <w:color w:val="auto"/>
        </w:rPr>
        <w:t>The information required to be furnished pursuant to Part III of this Form 10-K will be set forth in, and incorporated by reference from, the registrant's definitive proxy statement for the annual meeting of stockholders (the "2016 Proxy Statement"), which will be filed with the Securities and Exchange Commission not later than 120 days after the end of the fiscal year ended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gridSpan w:val="18"/>
          </w:tcPr>
          <w:p>
            <w:pPr>
              <w:jc w:val="center"/>
              <w:ind w:right="2900"/>
              <w:spacing w:after="0"/>
              <w:rPr>
                <w:sz w:val="20"/>
                <w:szCs w:val="20"/>
                <w:color w:val="auto"/>
              </w:rPr>
            </w:pPr>
            <w:r>
              <w:rPr>
                <w:rFonts w:ascii="Arial" w:cs="Arial" w:eastAsia="Arial" w:hAnsi="Arial"/>
                <w:sz w:val="18"/>
                <w:szCs w:val="18"/>
                <w:b w:val="1"/>
                <w:bCs w:val="1"/>
                <w:color w:val="auto"/>
              </w:rPr>
              <w:t>CROWN CASTLE INTERNATIONAL CORP.</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80" w:type="dxa"/>
            <w:vAlign w:val="bottom"/>
            <w:gridSpan w:val="17"/>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4"/>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100" w:type="dxa"/>
            <w:vAlign w:val="bottom"/>
            <w:gridSpan w:val="8"/>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00" w:type="dxa"/>
            <w:vAlign w:val="bottom"/>
            <w:tcBorders>
              <w:bottom w:val="single" w:sz="8" w:color="0000EE"/>
            </w:tcBorders>
            <w:gridSpan w:val="2"/>
            <w:vMerge w:val="continue"/>
          </w:tcPr>
          <w:p>
            <w:pPr>
              <w:spacing w:after="0"/>
              <w:rPr>
                <w:sz w:val="17"/>
                <w:szCs w:val="17"/>
                <w:color w:val="auto"/>
              </w:rPr>
            </w:pPr>
          </w:p>
        </w:tc>
        <w:tc>
          <w:tcPr>
            <w:tcW w:w="4100" w:type="dxa"/>
            <w:vAlign w:val="bottom"/>
            <w:gridSpan w:val="8"/>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120" w:type="dxa"/>
            <w:vAlign w:val="bottom"/>
            <w:gridSpan w:val="25"/>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7860" w:type="dxa"/>
            <w:vAlign w:val="bottom"/>
            <w:gridSpan w:val="23"/>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Unresolved Staff Comments</w:t>
              </w:r>
            </w:hyperlink>
          </w:p>
        </w:tc>
        <w:tc>
          <w:tcPr>
            <w:tcW w:w="6720" w:type="dxa"/>
            <w:vAlign w:val="bottom"/>
            <w:gridSpan w:val="18"/>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1320" w:type="dxa"/>
            <w:vAlign w:val="bottom"/>
            <w:gridSpan w:val="6"/>
          </w:tcPr>
          <w:p>
            <w:pPr>
              <w:spacing w:after="0"/>
              <w:rPr>
                <w:sz w:val="21"/>
                <w:szCs w:val="21"/>
                <w:color w:val="auto"/>
              </w:rPr>
            </w:pPr>
          </w:p>
        </w:tc>
        <w:tc>
          <w:tcPr>
            <w:tcW w:w="6720" w:type="dxa"/>
            <w:vAlign w:val="bottom"/>
            <w:gridSpan w:val="18"/>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1"/>
          </w:tcPr>
          <w:p>
            <w:pPr>
              <w:jc w:val="center"/>
              <w:ind w:right="4080"/>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PART II</w:t>
              </w:r>
            </w:hyperlink>
          </w:p>
        </w:tc>
        <w:tc>
          <w:tcPr>
            <w:tcW w:w="7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6"/>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Market for Registrant's Common Equity, Related Stockholder Matters and Issuer Purchases of Equity Securities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00" w:type="dxa"/>
            <w:vAlign w:val="bottom"/>
            <w:gridSpan w:val="5"/>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Selected Financial Data</w:t>
              </w:r>
            </w:hyperlink>
          </w:p>
        </w:tc>
        <w:tc>
          <w:tcPr>
            <w:tcW w:w="6340" w:type="dxa"/>
            <w:vAlign w:val="bottom"/>
            <w:gridSpan w:val="20"/>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23"/>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320" w:type="dxa"/>
            <w:vAlign w:val="bottom"/>
            <w:gridSpan w:val="3"/>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4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2320" w:type="dxa"/>
            <w:vAlign w:val="bottom"/>
            <w:gridSpan w:val="3"/>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0"/>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Financial Statements and Supplementary Data</w:t>
              </w:r>
            </w:hyperlink>
          </w:p>
        </w:tc>
        <w:tc>
          <w:tcPr>
            <w:tcW w:w="1020" w:type="dxa"/>
            <w:vAlign w:val="bottom"/>
            <w:gridSpan w:val="7"/>
          </w:tcPr>
          <w:p>
            <w:pPr>
              <w:spacing w:after="0"/>
              <w:rPr>
                <w:sz w:val="21"/>
                <w:szCs w:val="21"/>
                <w:color w:val="auto"/>
              </w:rPr>
            </w:pPr>
          </w:p>
        </w:tc>
        <w:tc>
          <w:tcPr>
            <w:tcW w:w="4420" w:type="dxa"/>
            <w:vAlign w:val="bottom"/>
            <w:gridSpan w:val="9"/>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60" w:type="dxa"/>
            <w:vAlign w:val="bottom"/>
            <w:gridSpan w:val="2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60" w:type="dxa"/>
            <w:vAlign w:val="bottom"/>
            <w:gridSpan w:val="6"/>
          </w:tcPr>
          <w:p>
            <w:pPr>
              <w:spacing w:after="0"/>
              <w:rPr>
                <w:rFonts w:ascii="Arial" w:cs="Arial" w:eastAsia="Arial" w:hAnsi="Arial"/>
                <w:sz w:val="18"/>
                <w:szCs w:val="18"/>
                <w:color w:val="0000EE"/>
                <w:w w:val="87"/>
              </w:rPr>
            </w:pPr>
            <w:hyperlink w:anchor="page83">
              <w:r>
                <w:rPr>
                  <w:rFonts w:ascii="Arial" w:cs="Arial" w:eastAsia="Arial" w:hAnsi="Arial"/>
                  <w:sz w:val="18"/>
                  <w:szCs w:val="18"/>
                  <w:color w:val="0000EE"/>
                  <w:w w:val="87"/>
                </w:rPr>
                <w:t>Controls and Procedures</w:t>
              </w:r>
            </w:hyperlink>
          </w:p>
        </w:tc>
        <w:tc>
          <w:tcPr>
            <w:tcW w:w="4740" w:type="dxa"/>
            <w:vAlign w:val="bottom"/>
            <w:gridSpan w:val="18"/>
          </w:tcPr>
          <w:p>
            <w:pPr>
              <w:spacing w:after="0"/>
              <w:rPr>
                <w:sz w:val="21"/>
                <w:szCs w:val="21"/>
                <w:color w:val="auto"/>
              </w:rPr>
            </w:pPr>
          </w:p>
        </w:tc>
        <w:tc>
          <w:tcPr>
            <w:tcW w:w="2260" w:type="dxa"/>
            <w:vAlign w:val="bottom"/>
            <w:gridSpan w:val="2"/>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7000" w:type="dxa"/>
            <w:vAlign w:val="bottom"/>
            <w:gridSpan w:val="20"/>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60" w:type="dxa"/>
            <w:vAlign w:val="bottom"/>
            <w:gridSpan w:val="14"/>
          </w:tcPr>
          <w:p>
            <w:pPr>
              <w:jc w:val="center"/>
              <w:ind w:right="364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III</w:t>
              </w:r>
            </w:hyperlink>
          </w:p>
        </w:tc>
        <w:tc>
          <w:tcPr>
            <w:tcW w:w="7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gridSpan w:val="1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Directors and Executive Officers of the Registrant</w:t>
              </w:r>
            </w:hyperlink>
          </w:p>
        </w:tc>
        <w:tc>
          <w:tcPr>
            <w:tcW w:w="740" w:type="dxa"/>
            <w:vAlign w:val="bottom"/>
            <w:tcBorders>
              <w:top w:val="single" w:sz="8" w:color="0000EE"/>
            </w:tcBorders>
            <w:gridSpan w:val="8"/>
          </w:tcPr>
          <w:p>
            <w:pPr>
              <w:spacing w:after="0"/>
              <w:rPr>
                <w:sz w:val="21"/>
                <w:szCs w:val="21"/>
                <w:color w:val="auto"/>
              </w:rPr>
            </w:pPr>
          </w:p>
        </w:tc>
        <w:tc>
          <w:tcPr>
            <w:tcW w:w="4020" w:type="dxa"/>
            <w:vAlign w:val="bottom"/>
            <w:gridSpan w:val="5"/>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7"/>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Executive Compensation</w:t>
              </w:r>
            </w:hyperlink>
          </w:p>
        </w:tc>
        <w:tc>
          <w:tcPr>
            <w:tcW w:w="1800" w:type="dxa"/>
            <w:vAlign w:val="bottom"/>
            <w:gridSpan w:val="5"/>
          </w:tcPr>
          <w:p>
            <w:pPr>
              <w:spacing w:after="0"/>
              <w:rPr>
                <w:sz w:val="21"/>
                <w:szCs w:val="21"/>
                <w:color w:val="auto"/>
              </w:rPr>
            </w:pPr>
          </w:p>
        </w:tc>
        <w:tc>
          <w:tcPr>
            <w:tcW w:w="5160" w:type="dxa"/>
            <w:vAlign w:val="bottom"/>
            <w:gridSpan w:val="1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4880" w:type="dxa"/>
            <w:vAlign w:val="bottom"/>
            <w:gridSpan w:val="22"/>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Security Ownership of Certain Beneficial Owners and Management</w:t>
              </w:r>
            </w:hyperlink>
          </w:p>
        </w:tc>
        <w:tc>
          <w:tcPr>
            <w:tcW w:w="38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Borders>
              <w:right w:val="single" w:sz="8" w:color="0000EE"/>
            </w:tcBorders>
            <w:gridSpan w:val="9"/>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4880" w:type="dxa"/>
            <w:vAlign w:val="bottom"/>
            <w:gridSpan w:val="2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w:t>
              </w:r>
            </w:hyperlink>
          </w:p>
        </w:tc>
        <w:tc>
          <w:tcPr>
            <w:tcW w:w="38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Borders>
              <w:right w:val="single" w:sz="8" w:color="0000EE"/>
            </w:tcBorders>
            <w:gridSpan w:val="9"/>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3400" w:type="dxa"/>
            <w:vAlign w:val="bottom"/>
            <w:gridSpan w:val="1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Principal Accounting Fees and Services</w:t>
              </w:r>
            </w:hyperlink>
          </w:p>
        </w:tc>
        <w:tc>
          <w:tcPr>
            <w:tcW w:w="5360" w:type="dxa"/>
            <w:vAlign w:val="bottom"/>
            <w:gridSpan w:val="15"/>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60" w:type="dxa"/>
            <w:vAlign w:val="bottom"/>
            <w:gridSpan w:val="13"/>
          </w:tcPr>
          <w:p>
            <w:pPr>
              <w:jc w:val="center"/>
              <w:ind w:right="404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IV</w:t>
              </w:r>
            </w:hyperlink>
          </w:p>
        </w:tc>
        <w:tc>
          <w:tcPr>
            <w:tcW w:w="7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020" w:type="dxa"/>
            <w:vAlign w:val="bottom"/>
            <w:gridSpan w:val="1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21"/>
                <w:szCs w:val="21"/>
                <w:color w:val="auto"/>
              </w:rPr>
            </w:pPr>
          </w:p>
        </w:tc>
        <w:tc>
          <w:tcPr>
            <w:tcW w:w="4040" w:type="dxa"/>
            <w:vAlign w:val="bottom"/>
            <w:gridSpan w:val="6"/>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20" w:type="dxa"/>
            <w:vAlign w:val="bottom"/>
            <w:gridSpan w:val="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426"/>
        </w:trPr>
        <w:tc>
          <w:tcPr>
            <w:tcW w:w="7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40" w:type="dxa"/>
            <w:vAlign w:val="bottom"/>
            <w:gridSpan w:val="22"/>
          </w:tcPr>
          <w:p>
            <w:pPr>
              <w:jc w:val="center"/>
              <w:ind w:right="2180"/>
              <w:spacing w:after="0"/>
              <w:rPr>
                <w:sz w:val="20"/>
                <w:szCs w:val="20"/>
                <w:color w:val="auto"/>
              </w:rPr>
            </w:pPr>
            <w:r>
              <w:rPr>
                <w:rFonts w:ascii="Arial" w:cs="Arial" w:eastAsia="Arial" w:hAnsi="Arial"/>
                <w:sz w:val="18"/>
                <w:szCs w:val="18"/>
                <w:b w:val="1"/>
                <w:bCs w:val="1"/>
                <w:color w:val="auto"/>
                <w:w w:val="91"/>
              </w:rPr>
              <w:t>Cautionary Language Regarding Forward-Looking Statements</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This Annual Report on Form 10-K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"Item 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"Item 3. Legal Proceedings," "Item 7. Management's Discussion and Analysis of Financial Condition and Results of Operations" </w:t>
      </w:r>
      <w:r>
        <w:rPr>
          <w:rFonts w:ascii="Arial" w:cs="Arial" w:eastAsia="Arial" w:hAnsi="Arial"/>
          <w:sz w:val="16"/>
          <w:szCs w:val="16"/>
          <w:color w:val="auto"/>
        </w:rPr>
        <w:t>("MD&amp;A"), and</w:t>
      </w:r>
      <w:r>
        <w:rPr>
          <w:rFonts w:ascii="Arial" w:cs="Arial" w:eastAsia="Arial" w:hAnsi="Arial"/>
          <w:sz w:val="16"/>
          <w:szCs w:val="16"/>
          <w:i w:val="1"/>
          <w:iCs w:val="1"/>
          <w:color w:val="auto"/>
        </w:rPr>
        <w:t xml:space="preserve"> "Item 7A. Quantitative and Qualitative Disclosures About Market Risk" </w:t>
      </w:r>
      <w:r>
        <w:rPr>
          <w:rFonts w:ascii="Arial" w:cs="Arial" w:eastAsia="Arial" w:hAnsi="Arial"/>
          <w:sz w:val="16"/>
          <w:szCs w:val="16"/>
          <w:color w:val="auto"/>
        </w:rPr>
        <w:t>herein. Such forward-looking statements include (1) expectations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anticipated growth in the wireless industry, carriers' investments in their networks, tenant additions, customer consolidation or ownership changes, or demand for our wireless infrastructure, (2) expectations regarding non-renewals of tenant leases (including the impact of the decommissioning of the former Leap Wireless, MetroPCS and Clearwire networks), (3) availability and adequacy of cash flows and liquidity for, or plans regarding, future discretionary investments including capital expenditures, (4) potential benefits of our discretionary investments, (5) anticipated growth in our future revenues, margins, Adjusted EBITDA, and operating cash flows, (6) expectations regarding our capital structure and the credit markets, our availability and cost of capital, or our ability to service our debt and comply with debt covenants and the benefits of any future refinancings, (7) expectations related to remaining qualified as a real estate investment trust ("REIT"), and the advantages, benefits or impact of, or opportunities created by, our REIT status, (8) the realization and utilization of our net operating loss carryforwards ("NOLs"), and (9) our dividend policy, including the timing, amount, growth or tax characterization of any dividends.</w:t>
      </w:r>
    </w:p>
    <w:p>
      <w:pPr>
        <w:sectPr>
          <w:pgSz w:w="11900" w:h="16838" w:orient="portrait"/>
          <w:cols w:equalWidth="0" w:num="1">
            <w:col w:w="11420"/>
          </w:cols>
          <w:pgMar w:left="240" w:top="121" w:right="239" w:bottom="1440" w:gutter="0" w:footer="0" w:header="0"/>
        </w:sectPr>
      </w:pPr>
    </w:p>
    <w:bookmarkStart w:id="2" w:name="page3"/>
    <w:bookmarkEnd w:id="2"/>
    <w:p>
      <w:pPr>
        <w:jc w:val="both"/>
        <w:ind w:firstLine="405"/>
        <w:spacing w:after="0" w:line="259"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herein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ectPr>
          <w:pgSz w:w="11900" w:h="16838" w:orient="portrait"/>
          <w:cols w:equalWidth="0" w:num="1">
            <w:col w:w="11420"/>
          </w:cols>
          <w:pgMar w:left="240" w:top="287" w:right="239" w:bottom="1440" w:gutter="0" w:footer="0" w:header="0"/>
        </w:sectPr>
      </w:pPr>
    </w:p>
    <w:bookmarkStart w:id="3" w:name="page4"/>
    <w:bookmarkEnd w:id="3"/>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this Form 10-K indicates otherwise or the context otherwise requires, the terms, "we," "our," "our company," "the company" or "us" as used in this Form 10-K refer to Crown Castle International Corp. and its predecessor (organized in 1995), as applicable, each a Delaware corporation (together, "CCIC"), and their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own, operate and lease shared wireless infrastructure, including: (1) towers and other structures, such as rooftops (collectively, "towers"), and (2) small cell networks supported by fiber (collectively, "small cells," and together with towers, "wireless infrastructure"). Our core business is providing access, including space or capacity, to our shared wireless infrastructure via long-term contracts in various forms, including license, sublease and lease agreements (collectively, "leases"). We seek to increase our site rental revenues by adding more tenants on our shared wireless infrastructure, which we expect to result in significant incremental cash flows due to our relatively fixed operating costs.</w:t>
      </w:r>
    </w:p>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Effective January 1, 2014, we commenced operating as a REIT for U.S. federal income tax purposes. See </w:t>
      </w:r>
      <w:r>
        <w:rPr>
          <w:rFonts w:ascii="Arial" w:cs="Arial" w:eastAsia="Arial" w:hAnsi="Arial"/>
          <w:sz w:val="18"/>
          <w:szCs w:val="18"/>
          <w:i w:val="1"/>
          <w:iCs w:val="1"/>
          <w:color w:val="231F20"/>
        </w:rPr>
        <w:t>"Item 1. Business—</w:t>
      </w:r>
      <w:r>
        <w:rPr>
          <w:rFonts w:ascii="Arial" w:cs="Arial" w:eastAsia="Arial" w:hAnsi="Arial"/>
          <w:sz w:val="18"/>
          <w:szCs w:val="18"/>
          <w:i w:val="1"/>
          <w:iCs w:val="1"/>
          <w:color w:val="000000"/>
        </w:rPr>
        <w:t>Industry Highlights and</w:t>
      </w:r>
      <w:r>
        <w:rPr>
          <w:rFonts w:ascii="Arial" w:cs="Arial" w:eastAsia="Arial" w:hAnsi="Arial"/>
          <w:sz w:val="18"/>
          <w:szCs w:val="18"/>
          <w:color w:val="231F20"/>
        </w:rPr>
        <w:t xml:space="preserve"> </w:t>
      </w:r>
      <w:r>
        <w:rPr>
          <w:rFonts w:ascii="Arial" w:cs="Arial" w:eastAsia="Arial" w:hAnsi="Arial"/>
          <w:sz w:val="18"/>
          <w:szCs w:val="18"/>
          <w:i w:val="1"/>
          <w:iCs w:val="1"/>
          <w:color w:val="000000"/>
        </w:rPr>
        <w:t>Company Developments</w:t>
      </w:r>
      <w:r>
        <w:rPr>
          <w:rFonts w:ascii="Arial" w:cs="Arial" w:eastAsia="Arial" w:hAnsi="Arial"/>
          <w:sz w:val="18"/>
          <w:szCs w:val="18"/>
          <w:i w:val="1"/>
          <w:iCs w:val="1"/>
          <w:color w:val="231F20"/>
        </w:rPr>
        <w:t>—REIT Election."</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information concerning our business as of December 31, 2015 is as follows:</w:t>
      </w:r>
    </w:p>
    <w:p>
      <w:pPr>
        <w:spacing w:after="0" w:line="171" w:lineRule="exact"/>
        <w:rPr>
          <w:sz w:val="20"/>
          <w:szCs w:val="20"/>
          <w:color w:val="auto"/>
        </w:rPr>
      </w:pPr>
    </w:p>
    <w:p>
      <w:pPr>
        <w:ind w:left="820" w:hanging="407"/>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owned, leased or managed approximately 40,000 towers and 16,000 fiber miles in the United States, including Puerto Rico ("U.S.").</w:t>
      </w:r>
    </w:p>
    <w:p>
      <w:pPr>
        <w:spacing w:after="0" w:line="34" w:lineRule="exact"/>
        <w:rPr>
          <w:rFonts w:ascii="Arial" w:cs="Arial" w:eastAsia="Arial" w:hAnsi="Arial"/>
          <w:sz w:val="17"/>
          <w:szCs w:val="17"/>
          <w:color w:val="auto"/>
        </w:rPr>
      </w:pPr>
    </w:p>
    <w:p>
      <w:pPr>
        <w:ind w:left="82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56% and 71% of our towers are located in the 50 and 100 largest U.S. basic trading areas ("BTAs"), respectively. Our towers have a significant presence in each of the top 100 BTAs.</w:t>
      </w:r>
    </w:p>
    <w:p>
      <w:pPr>
        <w:jc w:val="both"/>
        <w:ind w:left="820" w:hanging="407"/>
        <w:spacing w:after="0" w:line="25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owned, including fee interests and perpetual easements, land and other property interests (collectively, "land") on which approximately one-third of our site rental gross margin is derived, and we leased, subleased, managed or licensed (collectively, "leased") the land interests on which approximately two-thirds of our site rental gross margin is derived. The leases for the land interests under our towers had an average remaining life in excess of 30 years, weighted based on site rental gross margin.</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information concerning our customers and site rental leases as of and for the year ended December 31, 2015 is as follows:</w:t>
      </w:r>
    </w:p>
    <w:p>
      <w:pPr>
        <w:spacing w:after="0" w:line="171" w:lineRule="exact"/>
        <w:rPr>
          <w:sz w:val="20"/>
          <w:szCs w:val="20"/>
          <w:color w:val="auto"/>
        </w:rPr>
      </w:pP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customers include AT&amp;T, T-Mobile, Verizon Wireless and Sprint, which collectively accounted for 90% of our 2015 site rental revenues.</w:t>
      </w:r>
    </w:p>
    <w:p>
      <w:pPr>
        <w:spacing w:after="0" w:line="34" w:lineRule="exact"/>
        <w:rPr>
          <w:rFonts w:ascii="Arial" w:cs="Arial" w:eastAsia="Arial" w:hAnsi="Arial"/>
          <w:sz w:val="17"/>
          <w:szCs w:val="17"/>
          <w:color w:val="auto"/>
        </w:rPr>
      </w:pPr>
    </w:p>
    <w:p>
      <w:pPr>
        <w:ind w:left="820" w:right="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Site rental revenues represented 82% of our 2015 consolidated net revenues and site rental gross margin represented 88% of our 2015 consolidated gross margin.</w:t>
      </w:r>
    </w:p>
    <w:p>
      <w:pPr>
        <w:ind w:left="8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site rental revenues are of a recurring nature, and typically in excess of 90% have been contracted for in a prior year, excluding the impact of current year acquisitions.</w:t>
      </w:r>
    </w:p>
    <w:p>
      <w:pPr>
        <w:ind w:left="820" w:hanging="407"/>
        <w:spacing w:after="0" w:line="265"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site rental revenues typically result from long-term leases with (1) initial terms of five to 15 years, (2) multiple renewal periods at the option of the tenant of five to ten years each, (3) limited termination rights for our tenants, and (4) contractual escalations of the rental price.</w:t>
      </w:r>
    </w:p>
    <w:p>
      <w:pPr>
        <w:ind w:left="820" w:hanging="407"/>
        <w:spacing w:after="0" w:line="26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Exclusive of renewals at the tenants' option, our tenant leases have a weighted-average remaining life of approximately six years and represent $20 billion of expected future cash inflows.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our effort to provide comprehensive wireless infrastructure solutions, we offer certain network services relating to our wireless infrastructure, consisting of (1) the following site development services relating to existing or new tenant equipment installations on our wireless infrastructure: site acquisition, architectural and engineering, or zoning and permitting (collectively, "site development services") and (2) tenant equipment installation or subsequent augmentations (collectively, "installation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strategy is to create long-term stockholder value via a combination of (1) growing cash flows generated from our portfolio of wireless infrastructure, (2) returning a meaningful portion of our cash provided by operating activities to our stockholders in the form of dividends and (3) investing capital efficiently to grow cash flows and long-term dividends per share. We measure our efforts to create "long-term stockholder value" by the combined payment of dividends to stockholders and growth in our per share results. The key elements of our strategy are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20" w:hanging="407"/>
        <w:spacing w:after="0" w:line="270" w:lineRule="auto"/>
        <w:tabs>
          <w:tab w:leader="none" w:pos="8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Grow cash flows from our wireless infrastructure. </w:t>
      </w:r>
      <w:r>
        <w:rPr>
          <w:rFonts w:ascii="Arial" w:cs="Arial" w:eastAsia="Arial" w:hAnsi="Arial"/>
          <w:sz w:val="17"/>
          <w:szCs w:val="17"/>
          <w:color w:val="auto"/>
        </w:rPr>
        <w:t>We seek to maximize the site rental cash flows derived from our wireless infrastructure by</w:t>
      </w:r>
      <w:r>
        <w:rPr>
          <w:rFonts w:ascii="Arial" w:cs="Arial" w:eastAsia="Arial" w:hAnsi="Arial"/>
          <w:sz w:val="17"/>
          <w:szCs w:val="17"/>
          <w:i w:val="1"/>
          <w:iCs w:val="1"/>
          <w:color w:val="auto"/>
        </w:rPr>
        <w:t xml:space="preserve"> </w:t>
      </w:r>
      <w:r>
        <w:rPr>
          <w:rFonts w:ascii="Arial" w:cs="Arial" w:eastAsia="Arial" w:hAnsi="Arial"/>
          <w:sz w:val="17"/>
          <w:szCs w:val="17"/>
          <w:color w:val="auto"/>
        </w:rPr>
        <w:t>adding tenants on our wireless infrastructure through long-term leases. We believe that the rapid growth in wireless connectivity will result in considerable future demand for our existing wireless infrastructure. We seek to maximize additional tenancy on our wireless infrastructure by working with wireless customers to quickly provide them access to our wireless infrastructure via new tenant additions or modifications of existing tenant equipment installations (collectively, "tenant additions") to enable them to expand coverage and capacity in order to meet increasing demand for wireless connectivity. We expect increases in our site rental cash flows from tenant additions and the related subsequent impact from contracted escalations to result in growth in our operating cash flows as our wireless infrastructure has relatively fixed operating costs (which tend to increase at the rate of inflation). Substantially all of our wireless infrastructure can accommodate additional tenancy, either as currently constructed or with appropriate modifications to the structure (which may include extensions or structural reinforcement), from which we expect to generate high incremental returns.</w:t>
      </w:r>
    </w:p>
    <w:p>
      <w:pPr>
        <w:spacing w:after="0" w:line="123" w:lineRule="exact"/>
        <w:rPr>
          <w:rFonts w:ascii="Arial" w:cs="Arial" w:eastAsia="Arial" w:hAnsi="Arial"/>
          <w:sz w:val="17"/>
          <w:szCs w:val="17"/>
          <w:i w:val="1"/>
          <w:iCs w:val="1"/>
          <w:color w:val="auto"/>
        </w:rPr>
      </w:pPr>
    </w:p>
    <w:p>
      <w:pPr>
        <w:jc w:val="both"/>
        <w:ind w:left="820" w:hanging="407"/>
        <w:spacing w:after="0" w:line="279"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Return cash provided by operating activities to stockholders in the form of dividends</w:t>
      </w:r>
      <w:r>
        <w:rPr>
          <w:rFonts w:ascii="Arial" w:cs="Arial" w:eastAsia="Arial" w:hAnsi="Arial"/>
          <w:sz w:val="17"/>
          <w:szCs w:val="17"/>
          <w:color w:val="auto"/>
        </w:rPr>
        <w:t>. We believe that distributing a meaningful portion of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operating activities appropriately provides stockholders with increased certainty for a portion of expected long-term stockholder value while still retaining sufficient flexibility to invest in our business and deliver growth. We believe this decision reflects the translation of the high-quality, long-term contractual cash flows of our business into stable capital returns to stockholders.</w:t>
      </w:r>
    </w:p>
    <w:p>
      <w:pPr>
        <w:spacing w:after="0" w:line="117" w:lineRule="exact"/>
        <w:rPr>
          <w:rFonts w:ascii="Arial" w:cs="Arial" w:eastAsia="Arial" w:hAnsi="Arial"/>
          <w:sz w:val="17"/>
          <w:szCs w:val="17"/>
          <w:color w:val="auto"/>
        </w:rPr>
      </w:pPr>
    </w:p>
    <w:p>
      <w:pPr>
        <w:jc w:val="both"/>
        <w:ind w:left="820" w:hanging="407"/>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Invest capital efficiently to grow cash flows and long-term dividends per share. </w:t>
      </w:r>
      <w:r>
        <w:rPr>
          <w:rFonts w:ascii="Arial" w:cs="Arial" w:eastAsia="Arial" w:hAnsi="Arial"/>
          <w:sz w:val="18"/>
          <w:szCs w:val="18"/>
          <w:color w:val="auto"/>
        </w:rPr>
        <w:t>We seek to invest our available capital, including the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our operating activities and external financing sources, in a manner that will increase long-term stockholder value on a risk-adjusted basis. Our historical investments have included the following (in no particular order):</w:t>
      </w:r>
    </w:p>
    <w:p>
      <w:pPr>
        <w:spacing w:after="0" w:line="127" w:lineRule="exact"/>
        <w:rPr>
          <w:rFonts w:ascii="Arial" w:cs="Arial" w:eastAsia="Arial" w:hAnsi="Arial"/>
          <w:sz w:val="18"/>
          <w:szCs w:val="18"/>
          <w:color w:val="auto"/>
        </w:rPr>
      </w:pPr>
    </w:p>
    <w:p>
      <w:pPr>
        <w:ind w:left="1380" w:hanging="23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purchase shares of our common stock from time to time;</w:t>
      </w:r>
    </w:p>
    <w:p>
      <w:pPr>
        <w:spacing w:after="0" w:line="23" w:lineRule="exact"/>
        <w:rPr>
          <w:rFonts w:ascii="Arial" w:cs="Arial" w:eastAsia="Arial" w:hAnsi="Arial"/>
          <w:sz w:val="18"/>
          <w:szCs w:val="18"/>
          <w:color w:val="auto"/>
        </w:rPr>
      </w:pPr>
    </w:p>
    <w:p>
      <w:pPr>
        <w:ind w:left="1380" w:hanging="23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acquire or construct wireless infrastructure;</w:t>
      </w:r>
    </w:p>
    <w:p>
      <w:pPr>
        <w:sectPr>
          <w:pgSz w:w="11900" w:h="16888" w:orient="portrait"/>
          <w:cols w:equalWidth="0" w:num="1">
            <w:col w:w="11420"/>
          </w:cols>
          <w:pgMar w:left="240" w:top="125" w:right="239" w:bottom="0" w:gutter="0" w:footer="0" w:header="0"/>
        </w:sectPr>
      </w:pPr>
    </w:p>
    <w:bookmarkStart w:id="4" w:name="page5"/>
    <w:bookmarkEnd w:id="4"/>
    <w:p>
      <w:pPr>
        <w:ind w:left="238" w:hanging="238"/>
        <w:spacing w:after="0"/>
        <w:tabs>
          <w:tab w:leader="none" w:pos="2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land interests under towers;</w:t>
      </w:r>
    </w:p>
    <w:p>
      <w:pPr>
        <w:spacing w:after="0" w:line="23" w:lineRule="exact"/>
        <w:rPr>
          <w:rFonts w:ascii="Arial" w:cs="Arial" w:eastAsia="Arial" w:hAnsi="Arial"/>
          <w:sz w:val="18"/>
          <w:szCs w:val="18"/>
          <w:color w:val="auto"/>
        </w:rPr>
      </w:pPr>
    </w:p>
    <w:p>
      <w:pPr>
        <w:ind w:left="238" w:hanging="238"/>
        <w:spacing w:after="0"/>
        <w:tabs>
          <w:tab w:leader="none" w:pos="238"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improvements and structural enhancements to our existing wireless infrastructure; or</w:t>
      </w:r>
    </w:p>
    <w:p>
      <w:pPr>
        <w:spacing w:after="0" w:line="32" w:lineRule="exact"/>
        <w:rPr>
          <w:rFonts w:ascii="Arial" w:cs="Arial" w:eastAsia="Arial" w:hAnsi="Arial"/>
          <w:sz w:val="16"/>
          <w:szCs w:val="16"/>
          <w:color w:val="auto"/>
        </w:rPr>
      </w:pPr>
    </w:p>
    <w:p>
      <w:pPr>
        <w:ind w:left="238" w:hanging="238"/>
        <w:spacing w:after="0"/>
        <w:tabs>
          <w:tab w:leader="none" w:pos="238"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repay or redeem our debt.</w:t>
      </w:r>
    </w:p>
    <w:p>
      <w:pPr>
        <w:sectPr>
          <w:pgSz w:w="11900" w:h="16838" w:orient="portrait"/>
          <w:cols w:equalWidth="0" w:num="1">
            <w:col w:w="9077"/>
          </w:cols>
          <w:pgMar w:left="1382" w:top="125" w:right="1440" w:bottom="1440" w:gutter="0" w:footer="0" w:header="0"/>
        </w:sectPr>
      </w:pPr>
    </w:p>
    <w:bookmarkStart w:id="5" w:name="page6"/>
    <w:bookmarkEnd w:id="5"/>
    <w:p>
      <w:pPr>
        <w:jc w:val="both"/>
        <w:ind w:firstLine="405"/>
        <w:spacing w:after="0" w:line="259" w:lineRule="auto"/>
        <w:rPr>
          <w:sz w:val="20"/>
          <w:szCs w:val="20"/>
          <w:color w:val="auto"/>
        </w:rPr>
      </w:pPr>
      <w:r>
        <w:rPr>
          <w:rFonts w:ascii="Arial" w:cs="Arial" w:eastAsia="Arial" w:hAnsi="Arial"/>
          <w:sz w:val="18"/>
          <w:szCs w:val="18"/>
          <w:color w:val="auto"/>
        </w:rPr>
        <w:t>Our strategy to create long-term stockholder value is based on our belief that additional demand for our wireless infrastructure will be created by the expected continued growth in demand for wireless connectivity. We believe that such demand for our wireless infrastructure will continue, will result in growth of our cash flows due to tenant additions on our existing wireless infrastructure, and will create other growth opportunities for us, such as demand for new wireless infrastructure.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Industry Highlights and Company Developments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 Business—Overview," "Item 1. Business—The Company," "Item 7. MD&amp;A"</w:t>
      </w:r>
      <w:r>
        <w:rPr>
          <w:rFonts w:ascii="Arial" w:cs="Arial" w:eastAsia="Arial" w:hAnsi="Arial"/>
          <w:sz w:val="18"/>
          <w:szCs w:val="18"/>
          <w:color w:val="auto"/>
        </w:rPr>
        <w:t xml:space="preserve"> and our consolidated financial statements for a discussion of certain recent developments and activities, including (1) the increase in our quarterly common stock dividend, (2) our May 2015 sale of our formerly 77.6% owned Australian subsidiary ("CCAL"), (3) our August 2015 acquisition of Quanta Fiber Networks, Inc. ("Sunesys Acquisition"), and (4) our recent financing activities.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REIT Election. </w:t>
      </w:r>
      <w:r>
        <w:rPr>
          <w:rFonts w:ascii="Arial" w:cs="Arial" w:eastAsia="Arial" w:hAnsi="Arial"/>
          <w:sz w:val="18"/>
          <w:szCs w:val="18"/>
          <w:color w:val="auto"/>
        </w:rPr>
        <w:t>We commenced operating as a REIT for U.S. federal income tax purposes effective January 1, 2014. As a REIT, we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entitled to a deduction for dividends that we pay and therefore are not subject to U.S. federal corporate income tax on our net taxable income that is currently distributed to our stockholders. We also may be subject to certain federal, state, local, and foreign taxes on our income or assets, including (1) alternative minimum taxes, (2) taxes on any undistributed income, (3) taxes related to our </w:t>
      </w:r>
      <w:r>
        <w:rPr>
          <w:rFonts w:ascii="Arial" w:cs="Arial" w:eastAsia="Arial" w:hAnsi="Arial"/>
          <w:sz w:val="18"/>
          <w:szCs w:val="18"/>
          <w:color w:val="231F20"/>
        </w:rPr>
        <w:t>taxable REIT subsidiaries ("</w:t>
      </w:r>
      <w:r>
        <w:rPr>
          <w:rFonts w:ascii="Arial" w:cs="Arial" w:eastAsia="Arial" w:hAnsi="Arial"/>
          <w:sz w:val="18"/>
          <w:szCs w:val="18"/>
          <w:color w:val="auto"/>
        </w:rPr>
        <w:t>TRSs"), (4) certain state, local, or foreign income taxes, (5) franchise taxes, (6) property taxes and (7) transfer taxes. In addition, we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August 2014, we received a favorable private letter ruling from the Internal Revenue Service ("IRS"), which provides that the real property portion of our small cells and the related rents qualify as real property and rents from real property, respectively, under the rules governing REITs. </w:t>
      </w:r>
      <w:r>
        <w:rPr>
          <w:rFonts w:ascii="Arial" w:cs="Arial" w:eastAsia="Arial" w:hAnsi="Arial"/>
          <w:sz w:val="18"/>
          <w:szCs w:val="18"/>
          <w:color w:val="231F20"/>
        </w:rPr>
        <w:t>During the fourth</w:t>
      </w:r>
      <w:r>
        <w:rPr>
          <w:rFonts w:ascii="Arial" w:cs="Arial" w:eastAsia="Arial" w:hAnsi="Arial"/>
          <w:sz w:val="18"/>
          <w:szCs w:val="18"/>
          <w:color w:val="auto"/>
        </w:rPr>
        <w:t xml:space="preserve"> </w:t>
      </w:r>
      <w:r>
        <w:rPr>
          <w:rFonts w:ascii="Arial" w:cs="Arial" w:eastAsia="Arial" w:hAnsi="Arial"/>
          <w:sz w:val="18"/>
          <w:szCs w:val="18"/>
          <w:color w:val="231F20"/>
        </w:rPr>
        <w:t>quarter of 2015, we completed the necessary steps to include our small cells that were previously included in one or more wholly-owned TRSs in the REIT effective January 2016</w:t>
      </w:r>
      <w:r>
        <w:rPr>
          <w:rFonts w:ascii="Arial" w:cs="Arial" w:eastAsia="Arial" w:hAnsi="Arial"/>
          <w:sz w:val="18"/>
          <w:szCs w:val="18"/>
          <w:color w:val="000000"/>
        </w:rPr>
        <w:t>.</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Substantially all of our revenues are in the REIT. Additionally, we have included in TRSs certain other assets and operations. Those TRS assets and operations will continue to be subject, as applicable, to federal and state corporate income taxes or to foreign taxes in the jurisdictions in which such assets and operations are located. Our foreign assets and operations (including our tower operations in Puerto Rico) most likely will be subject to foreign income taxes in the jurisdictions in which such assets and operations are located, regardless of whether they are included in a TRS or not.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7" w:right="239" w:bottom="1440" w:gutter="0" w:footer="0" w:header="0"/>
        </w:sectPr>
      </w:pPr>
    </w:p>
    <w:bookmarkStart w:id="6" w:name="page7"/>
    <w:bookmarkEnd w:id="6"/>
    <w:p>
      <w:pPr>
        <w:jc w:val="both"/>
        <w:ind w:firstLine="405"/>
        <w:spacing w:after="0" w:line="259" w:lineRule="auto"/>
        <w:rPr>
          <w:sz w:val="20"/>
          <w:szCs w:val="20"/>
          <w:color w:val="auto"/>
        </w:rPr>
      </w:pPr>
      <w:r>
        <w:rPr>
          <w:rFonts w:ascii="Arial" w:cs="Arial" w:eastAsia="Arial" w:hAnsi="Arial"/>
          <w:sz w:val="18"/>
          <w:szCs w:val="18"/>
          <w:color w:val="auto"/>
        </w:rPr>
        <w:t>To remain qualified and be taxed as a REIT, we will generally be required to distribute at least 90% of our REIT taxable income, after the utilization of our NOLs, (determined without regard to the dividends paid deduction and excluding net capital gain) each year to our stockholders (see notes 2 and 11 to our consolidated financial statements). Our quarterly common stock dividend will delay the utilization of our NOLs and may cause certain of the NOLs to expire without utilization.</w:t>
      </w:r>
    </w:p>
    <w:p>
      <w:pPr>
        <w:spacing w:after="0" w:line="13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Wireless Industry Update. </w:t>
      </w:r>
      <w:r>
        <w:rPr>
          <w:rFonts w:ascii="Arial" w:cs="Arial" w:eastAsia="Arial" w:hAnsi="Arial"/>
          <w:sz w:val="17"/>
          <w:szCs w:val="17"/>
          <w:color w:val="auto"/>
        </w:rPr>
        <w:t>During 2015, consumer demand for wireless connectivity continued to grow due to increases in wireless data consumption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increased penetration of bandwidth intensive devices. This growth in wireless consumption is driven by the increased usage of wireless applications, including (1) mobile entertainment (such as mobile video, mobile applications, and social networking), (2) mobile internet usage (such as email and web browsing) and (3) machine-to-machine applications (also known as "the Internet of Things"). As a result, consumer wireless devices are trending toward bandwidth-intensive devices such as smartphones, laptops, tablets and other emerging devices.</w:t>
      </w:r>
    </w:p>
    <w:p>
      <w:pPr>
        <w:spacing w:after="0" w:line="11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major wireless carriers continue to upgrade and enhance their networks, which has translated into additional demand for our wireless infrastructure. We expect that consumers' growing wireless consumption will likely result in wireless carriers continuing to invest in their networks and focus on improving network quality and capacity by adding additional antennas or other equipment for the transmission of their services to wireless infrastructure in an effort to improve customer retention or satisfaction. Additionally, spectrum licensed by the Federal Communications Commission ("FCC") has enabled continued wireless carrier network development. We expect this development and the potential availability of additional spectrum through government auctions to enable continued future carrier network development and potential demand for our wireless infrastructure.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Following the sale of CCAL in May 2015, virtually all of our operations are located in the U.S. We conduct substantially all of our operations through subsidiaries of Crown Castle Operating Company ("CCOC"). For more information about our operating segment, see note 16 to our consolidated financial statements and </w:t>
      </w:r>
      <w:r>
        <w:rPr>
          <w:rFonts w:ascii="Arial" w:cs="Arial" w:eastAsia="Arial" w:hAnsi="Arial"/>
          <w:sz w:val="18"/>
          <w:szCs w:val="18"/>
          <w:i w:val="1"/>
          <w:iCs w:val="1"/>
          <w:color w:val="auto"/>
        </w:rPr>
        <w:t>"Item 7. MD&amp;A</w:t>
      </w:r>
      <w:r>
        <w:rPr>
          <w:rFonts w:ascii="Arial" w:cs="Arial" w:eastAsia="Arial" w:hAnsi="Arial"/>
          <w:sz w:val="18"/>
          <w:szCs w:val="18"/>
          <w:color w:val="auto"/>
        </w:rPr>
        <w:t>."</w:t>
      </w:r>
    </w:p>
    <w:p>
      <w:pPr>
        <w:spacing w:after="0" w:line="127"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i w:val="1"/>
          <w:iCs w:val="1"/>
          <w:color w:val="auto"/>
        </w:rPr>
        <w:t xml:space="preserve">Site Rental. </w:t>
      </w:r>
      <w:r>
        <w:rPr>
          <w:rFonts w:ascii="Arial" w:cs="Arial" w:eastAsia="Arial" w:hAnsi="Arial"/>
          <w:sz w:val="17"/>
          <w:szCs w:val="17"/>
          <w:color w:val="auto"/>
        </w:rPr>
        <w:t>Our core business is providing access, including space or capacity, to our shared wireless infrastructure in the U.S, which predominately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towers and small cells. We predominately provide access to wireless carriers under long-term leases for their antennas which transmit a variety of signals related to wireless connectivity. Our small cells are primarily located outdoors. To a lesser extent, we offer fiber solutions including dark fiber and lit fiber. We believe our wireless infrastructure is integral to our customers' networks and their ability to serve their customers.</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acquired ownership interests or exclusive rights to the majority of our towers from the four largest wireless carriers (or their predecessors) through transactions consummated since 1999, including transactions with (1) AT&amp;T in 2013 ("AT&amp;T Acquisition"), (2) T-Mobile in 2012 ("T-Mobile Acquisition"),</w:t>
      </w:r>
    </w:p>
    <w:p>
      <w:pPr>
        <w:jc w:val="both"/>
        <w:ind w:firstLine="8"/>
        <w:spacing w:after="0" w:line="255" w:lineRule="auto"/>
        <w:tabs>
          <w:tab w:leader="none" w:pos="257"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Signal Inc. in 2007 ("Global Signal Acquisition") , which had originally acquired the majority of its towers from Sprint, (4) companies now part of Verizon Wireless during 1999 and 2000, and (5) companies now part of AT&amp;T during 1999 and 2000. Our small cell assets include those acquired from NextG Networks, Inc. in 2012 ("NextG Acquisition") and the Sunesys Acquisition in 2015.</w:t>
      </w:r>
    </w:p>
    <w:p>
      <w:pPr>
        <w:spacing w:after="0" w:line="13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generally receive monthly rental payments from tenants, payable under long-term leases. We have existing master lease agreements with most wireless carriers, including AT&amp;T, T-Mobile, Verizon Wireless and Sprint; such agreements provide certain terms (including economic terms) that govern leases on our wireless infrastructure entered into by such carriers during the term of their master lease agreements. We generally negotiate initial contract terms of five to 15 years, with multiple renewal periods at the option of the tenant of five to ten years each, and our leases typically include fixed escalations. We continue to endeavor to negotiate with our existing customer base for longer contractual terms, which often contain fixed escalation rates.</w:t>
      </w:r>
    </w:p>
    <w:p>
      <w:pPr>
        <w:spacing w:after="0" w:line="10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Our tenant leases have historically had a high renewal rate. With limited exceptions, our tenant leases may not be terminated prior to the end of their current term, and non-renewals have averaged approximately 2% of site rental revenues over the last five years. See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regarding future anticipated non-renewals as a result of the decommissioning, at least in part, of the former Leap Wireless, MetroPCS and Clearwire networks ("Acquired Networks"). In general, each tenant lease which is renewable will automatically renew at the end of its term unless the tenant provides prior notice of its intent not to renew. See note 15 to our consolidated financial statements for a tabular presentation of the minimum rental cash payments due to us by tenants pursuant to tenant agreements without consideration of tenant renewal options.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average monthly rental payment of a new tenant added to wireless infrastructure can vary based on (1) aggregate tenant volume, (2) the different regions in the U.S., or (3) the physical size, weight and shape of the antenna installation and related equipment. With respect to our small cells, the amount of the monthly payments can also be influenced by similar factors, as well as the amount or cost of (1) construction for initial and subsequent tenants, (2) fiber strands, (3) equipment at the site, or (4) any upfront payments received. We also routinely receive rental payment increases in connection with lease amendments, pursuant to which our tenants add additional antennas or other equipment to wireless infrastructure on which they already have equipment pursuant to preexisting leases.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7" w:right="239" w:bottom="1440" w:gutter="0" w:footer="0" w:header="0"/>
        </w:sectPr>
      </w:pPr>
    </w:p>
    <w:bookmarkStart w:id="7" w:name="page8"/>
    <w:bookmarkEnd w:id="7"/>
    <w:p>
      <w:pPr>
        <w:jc w:val="both"/>
        <w:ind w:firstLine="405"/>
        <w:spacing w:after="0" w:line="255" w:lineRule="auto"/>
        <w:rPr>
          <w:sz w:val="20"/>
          <w:szCs w:val="20"/>
          <w:color w:val="auto"/>
        </w:rPr>
      </w:pPr>
      <w:r>
        <w:rPr>
          <w:rFonts w:ascii="Arial" w:cs="Arial" w:eastAsia="Arial" w:hAnsi="Arial"/>
          <w:sz w:val="18"/>
          <w:szCs w:val="18"/>
          <w:color w:val="auto"/>
        </w:rPr>
        <w:t>In excess of two-thirds of our direct site operating expenses consist of lease expenses and the remainder includes property taxes, repairs and maintenance, employee compensation or related benefit costs, or utilities. Our cash operating expenses tend to escalate at approximately the rate of inflation, partially offset by reductions in cash lease expenses from our purchases of land interests. As a result of the relatively fixed nature of these expenditures, the addition of new tenants is achieved at a low incremental operating cost, resulting in high incremental operating cash flows. Our wireless infrastructure portfolio requires minimal sustaining capital expenditures, including maintenance or other non-discretionary capital expenditures, and are typically approximately 2% of net revenues. See note 15 to our consolidated financial statements for a tabular presentation of the rental cash payments owed by us to landlords pursuant to our contractual agreements.</w:t>
      </w:r>
    </w:p>
    <w:p>
      <w:pPr>
        <w:spacing w:after="0" w:line="13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Network Services. </w:t>
      </w:r>
      <w:r>
        <w:rPr>
          <w:rFonts w:ascii="Arial" w:cs="Arial" w:eastAsia="Arial" w:hAnsi="Arial"/>
          <w:sz w:val="17"/>
          <w:szCs w:val="17"/>
          <w:color w:val="auto"/>
        </w:rPr>
        <w:t>As part of our effort to provide comprehensive solutions, we offer certain network services relating to our wireless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predominately consisting of (1) site development services and (2) installation services. For 2015, 65% of our network services and other revenues related to installation services, and the remainder predominately related to site development services. We have grown our network service revenues over the last several years as a result of increased volumes resulting from carrier network upgrades, promoting site development services, expanding the scope of our services, and our focus on customer service and deployment speed. We have the capability and expertise to install, with the assistance of our network of subcontractors, equipment or antenna systems for our customers. We do not always provide the installation services or site development services for our customers on our wireless infrastructure as third parties also provide these services (see also </w:t>
      </w:r>
      <w:r>
        <w:rPr>
          <w:rFonts w:ascii="Arial" w:cs="Arial" w:eastAsia="Arial" w:hAnsi="Arial"/>
          <w:sz w:val="17"/>
          <w:szCs w:val="17"/>
          <w:i w:val="1"/>
          <w:iCs w:val="1"/>
          <w:color w:val="auto"/>
        </w:rPr>
        <w:t>"—Competition"</w:t>
      </w:r>
      <w:r>
        <w:rPr>
          <w:rFonts w:ascii="Arial" w:cs="Arial" w:eastAsia="Arial" w:hAnsi="Arial"/>
          <w:sz w:val="17"/>
          <w:szCs w:val="17"/>
          <w:color w:val="auto"/>
        </w:rPr>
        <w:t xml:space="preserve"> below). These activities are typically non-recurring and highly competitive, with a number of local competitors in most markets. Typically, our installation services are billed on a cost-plus profit basis and site development services are billed on a fixed fee basis.</w:t>
      </w:r>
    </w:p>
    <w:p>
      <w:pPr>
        <w:spacing w:after="0" w:line="12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We work extensively with large national wireless carriers, and in general, our customers are primarily comprised of providers of wireless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connectivity that operate national or regional networks. Our four largest customers (AT&amp;T, T-Mobile, Verizon Wireless and Sprint) collectively accounted for 90% of our 2015 site rental revenues. See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and note 16 to our consolidated financial statements.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organization markets our wireless infrastructure within the wireless industry with the objective of providing access to</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wireless infrastructure or to new wireless infrastructure prior to construction. We seek to become the critical partner and preferred independent wireless infrastructure provider for our customers and increase customer satisfaction relative to our peers by leveraging our (1) customer relationships, (2) process-centric approach, and (3) technological tools.</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 team of national account directors maintains our relationships with our largest customers. These directors work to develop wireless infrastructure leasing, as well as to ensure that customers' wireless infrastructure needs are efficiently translated into new leases on our wireless infrastructure. Sales personnel in our area offices develop and maintain local relationships with our customers that are expanding their networks, entering new markets, bringing new technologies to market or requiring maintenance or add-on business. In addition to our full-time sales or marketing staff, a number of senior managers and officers spend a significant portion of their time on sales and marketing activities and call on existing or prospective customers.</w:t>
      </w:r>
    </w:p>
    <w:p>
      <w:pPr>
        <w:spacing w:after="0" w:line="1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face competition for site rental tenants from various sources, including (1) other independent wireless infrastructure owners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including towers, rooftops, broadcast towers, utility poles, fiber providers, distributed antenna systems ("DAS") or other small cells, or (2) new alternative deployment methods in the wireless industry.</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Some of the larger independent tower companies with which we compete include American Tower Corporation and SBA Communications Corporation. We believe that tower location, deployment speed, quality of service, capacity and price have been and will continue to be the most significant competitive factors affecting the leasing of wireless infrastructure. See </w:t>
      </w:r>
      <w:r>
        <w:rPr>
          <w:rFonts w:ascii="Arial" w:cs="Arial" w:eastAsia="Arial" w:hAnsi="Arial"/>
          <w:sz w:val="18"/>
          <w:szCs w:val="18"/>
          <w:i w:val="1"/>
          <w:iCs w:val="1"/>
          <w:color w:val="auto"/>
        </w:rPr>
        <w:t>"Item 1A. Risk Factors."</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Competitors in our network services offering include site acquisition consultants, zoning consultants, real estate firms, right-of-way consulting firms, construction companies, tower owners or managers, radio frequency engineering consultants, telecommunications equipment vendors who can provide turnkey site development services through multiple subcontractors, or our customers' internal staff. We believe that our customers base their decisions on the outsourcing of network services on criteria such as a company's experience, track record, local reputation, price, or time for completion of a project.</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Sale of CCAL. </w:t>
      </w:r>
      <w:r>
        <w:rPr>
          <w:rFonts w:ascii="Arial" w:cs="Arial" w:eastAsia="Arial" w:hAnsi="Arial"/>
          <w:sz w:val="18"/>
          <w:szCs w:val="18"/>
          <w:color w:val="auto"/>
        </w:rPr>
        <w:t>On May 28, 2015, we completed the sale of our formerly 77.6% owned Australian subsidiary, CCAL, to a consortium of investors led by</w:t>
      </w:r>
      <w:r>
        <w:rPr>
          <w:rFonts w:ascii="Arial" w:cs="Arial" w:eastAsia="Arial" w:hAnsi="Arial"/>
          <w:sz w:val="18"/>
          <w:szCs w:val="18"/>
          <w:i w:val="1"/>
          <w:iCs w:val="1"/>
          <w:color w:val="auto"/>
        </w:rPr>
        <w:t xml:space="preserve"> </w:t>
      </w:r>
      <w:r>
        <w:rPr>
          <w:rFonts w:ascii="Arial" w:cs="Arial" w:eastAsia="Arial" w:hAnsi="Arial"/>
          <w:sz w:val="18"/>
          <w:szCs w:val="18"/>
          <w:color w:val="auto"/>
        </w:rPr>
        <w:t>Macquarie Infrastructure and Real Assets. At closing, we received net proceeds of approximately $1.1 billion after accounting for our ownership interest, repayment of intercompany debt owed to us by CCAL and estimated transaction fees and expenses, exclusive of the impact of foreign currency swaps related to the CCAL sale.</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CCAL had historically been a separate operating segment. The sale of our CCAL operating segment is treated as discontinued operations for all periods presented and represents a strategic shift for us to focus on U.S. operations. See note 3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January 31, 2016, we employed approximately 2,700 people. We are not a party to any collective bargaining agreements. We have not experienced any strikes or work stoppages, and management believes that our employee relations are satisfactory.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Environmental Matters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are required to comply with a variety of federal, state, and local regulations and laws in the U.S., including FCC and Federal Aviation Administration ("FAA") regulations and those discussed under </w:t>
      </w:r>
      <w:r>
        <w:rPr>
          <w:rFonts w:ascii="Arial" w:cs="Arial" w:eastAsia="Arial" w:hAnsi="Arial"/>
          <w:sz w:val="17"/>
          <w:szCs w:val="17"/>
          <w:i w:val="1"/>
          <w:iCs w:val="1"/>
          <w:color w:val="auto"/>
        </w:rPr>
        <w:t>"—Environmental"</w:t>
      </w:r>
      <w:r>
        <w:rPr>
          <w:rFonts w:ascii="Arial" w:cs="Arial" w:eastAsia="Arial" w:hAnsi="Arial"/>
          <w:sz w:val="17"/>
          <w:szCs w:val="17"/>
          <w:color w:val="auto"/>
        </w:rPr>
        <w:t xml:space="preserve"> below. To date, we have not incurred any material fines or penalties or experienced any material adverse effects to our business as a result of any domestic or international regulations. The summary below is based on regulations currently in effect, and such regulations are subject to review or modification by the applicable governmental authority from time to time. If we fail to comply with applicable laws and regulations, we may be fined or even lose our rights to conduct some of our business.</w:t>
      </w:r>
    </w:p>
    <w:p>
      <w:pPr>
        <w:spacing w:after="0" w:line="11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Federal Regulations. </w:t>
      </w:r>
      <w:r>
        <w:rPr>
          <w:rFonts w:ascii="Arial" w:cs="Arial" w:eastAsia="Arial" w:hAnsi="Arial"/>
          <w:sz w:val="17"/>
          <w:szCs w:val="17"/>
          <w:color w:val="auto"/>
        </w:rPr>
        <w:t>Both the FCC and the FAA regulate towers used for wireless communications, radio, or television broadcasting. Such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the siting, lighting, or marking of towers and may, depending on the characteristics of particular towers, require the registration of tower facilities with the FCC and the issuance of determinations confirming no hazard to air traffic. Wireless communications devices operating on towers are separately regulated and independently licensed based upon the particular frequency used. In addition, the FCC and the FAA have developed standards to consider proposals for new or modified tower or antenna structures based upon the height or location, including proximity to airports. Proposals to construct or to modify existing tower or antenna structures above certain heights are reviewed by the FAA to ensure the structure will not present a hazard to aviation, which determination may be conditioned upon compliance with lighting or marking requirements. The FCC requires its licensees to operate communications devices only on towers that comply with FAA rules and are registered with the FCC, if required by its regulations. Where tower lighting is required by FAA regulation, tower owners bear the responsibility of notifying the FAA of any tower lighting outage and ensuring the timely restoration of such outages. Failure to comply with the applicable requirements may lead to civil penalties.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Local Regulations. </w:t>
      </w:r>
      <w:r>
        <w:rPr>
          <w:rFonts w:ascii="Arial" w:cs="Arial" w:eastAsia="Arial" w:hAnsi="Arial"/>
          <w:sz w:val="18"/>
          <w:szCs w:val="18"/>
          <w:color w:val="auto"/>
        </w:rPr>
        <w:t>The U.S. Telecommunications Act of 1996 amended the Communications Act of 1934 to preserve state and local zoning authorities'</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over the siting of communications towers and small cells. The law, however, limits local zoning authority by prohibiting actions by local authorities that discriminate between different service providers of wireless communications or ban altogether the provision of wireless communications. Additionally, the law prohibits state and local restrictions based on the environmental effects of radio frequency emissions to the extent the facilities comply with FCC regulations.</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Local regulations include city and other local ordinances (including subdivision and zoning ordinances), approvals for construction, modification and removal of towers and small cells, and restrictive covenants imposed by community developers. These regulations vary greatly, but typically require us to obtain approval from local officials prior to tower construction. Local zoning authorities may render decisions that prevent the construction or modification of towers or place conditions on such construction or modifications that are responsive to community residents' concerns regarding the height, visibility, or other characteristics of the towers. Over the last several years, there have been several developments related to FCC regulations and legislation that assist in expediting and streamlining the deployment of wireless networks, including establishing timeframes for reviews by local and state governments. Notwithstanding such legislative and FCC actions, decisions of local zoning authorities may also adversely affect the timing or cost of wireless infrastructure construction or modification.</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Some of our small cell related subsidiaries hold authorization to provide intrastate telecommunication services as competitive local exchange carriers ("CLEC") in numerous states and to provide domestic interstate telecommunication services as authorized by the FCC. These small cell subsidiaries are primarily regulated by state public service commissions which have jurisdiction over public rights-of-way. CLEC status, in certain cases, helps promote access to such public rights-of-way, which is beneficial to the deployment of our small cells on a timely basis. Status as a CLEC often allows us to deploy our small cells in locations where zoning restrictions might otherwise delay, restrict, or prevent building or expanding traditional wireless tower sites or traditional wireless rooftop sites. See </w:t>
      </w:r>
      <w:r>
        <w:rPr>
          <w:rFonts w:ascii="Arial" w:cs="Arial" w:eastAsia="Arial" w:hAnsi="Arial"/>
          <w:sz w:val="18"/>
          <w:szCs w:val="18"/>
          <w:i w:val="1"/>
          <w:iCs w:val="1"/>
          <w:color w:val="auto"/>
        </w:rPr>
        <w:t>"Item 1A. Risk Factors."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Environmental. </w:t>
      </w:r>
      <w:r>
        <w:rPr>
          <w:rFonts w:ascii="Arial" w:cs="Arial" w:eastAsia="Arial" w:hAnsi="Arial"/>
          <w:sz w:val="17"/>
          <w:szCs w:val="17"/>
          <w:color w:val="auto"/>
        </w:rPr>
        <w:t>We are required to comply with a variety of federal, state, and local environmental laws and regulations protecting environmental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quality, including air and water quality and wildlife protection. To date, we have not incurred any material fines or penalties or experienced any material adverse effects to our business as a result of any domestic or international environmental regulations or matters. See </w:t>
      </w:r>
      <w:r>
        <w:rPr>
          <w:rFonts w:ascii="Arial" w:cs="Arial" w:eastAsia="Arial" w:hAnsi="Arial"/>
          <w:sz w:val="17"/>
          <w:szCs w:val="17"/>
          <w:i w:val="1"/>
          <w:iCs w:val="1"/>
          <w:color w:val="auto"/>
        </w:rPr>
        <w:t>"Item 1A. Risk Factors."</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construction of new towers or, in some cases, the modification of existing towers in the U.S. may be subject to environmental review under the National Environmental Policy Act of 1969, as amended ("NEPA"), which requires federal agencies to evaluate the environmental impact of major federal actions. The FCC has promulgated regulations implementing NEPA which require applicants to investigate the potential environmental impact of the proposed tower construction. Should the proposed tower construction present a significant environmental impact, the FCC must prepare an environmental impact statement, subject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3"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to public comment. If the proposed construction or modification of a tower may have a significant impact on the environment, the FCC's approval of the construction or modification could be significantly delayed.</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operations are subject to federal, state, and local laws and regulations relating to the management, use, storage, disposal, emission, or remediation of, or exposure to, hazardous or non-hazardous substances, materials, or wastes. As an owner, lessee, or operator of real property, we are subject to certain environmental laws that impose strict, joint-and-several liability for the cleanup of on-site or off-site contamination relating to existing or historical operations; or we could also be subject to personal injury or property damage claims relating to such contamination. In general, our customer contracts prohibit our customers from using or storing any hazardous substances on our tower sites in violation of applicable environmental laws and require our customers to provide notice of certain environmental conditions caused by them.</w:t>
      </w:r>
    </w:p>
    <w:p>
      <w:pPr>
        <w:spacing w:after="0" w:line="12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licensees and wireless infrastructure owners, we are also subject to regulations and guidelines that impose a variety of operational requirements relating to radio frequency emissions. As employers, we are subject to Occupational Safety and Health Administration and similar guidelines regarding employee protection from radio frequency exposure. The potential connection between radio frequency emissions and certain negative health effects, including some forms of cancer, has been the subject of substantial study by the scientific community in recent years.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compliance programs and monitoring projects to help assure that we are in substantial compliance with applicable environmental laws.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Nevertheless, there can be no assurance that the costs of compliance with existing or future environmental laws will not have a material adverse effect on us.</w:t>
      </w:r>
    </w:p>
    <w:p>
      <w:pPr>
        <w:spacing w:after="0" w:line="1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We hold, through certain of our subsidiaries, licenses for common carrier microwave service, which are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by the FCC. We also have an FCC license relating to our 1670-1675 MHz U.S. nationwide spectrum license ("Spectrum"), which we have leased to a third party through 2023, subject to the lessee's option to purchase the Spectrum.</w:t>
      </w:r>
    </w:p>
    <w:p>
      <w:pPr>
        <w:spacing w:after="0" w:line="200" w:lineRule="exact"/>
        <w:rPr>
          <w:sz w:val="20"/>
          <w:szCs w:val="20"/>
          <w:color w:val="auto"/>
        </w:rPr>
      </w:pPr>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You should carefully consider all of the risks described below, as well as the other information contained in this document, when evaluating your investment in our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on the demand for our wireless infrastructure, driven primarily by demand for wireless connectivity, and we may be adversely affected by any slowdown in such demand. Additionally, a reduction in carrier network investment may materially and adversely affect our business (including reducing demand for tenant additions or network services).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Demand for our wireless infrastructure depends on the demand for antenna space from our customers, which, in turn, depends on the demand for wireless connectivity by their customers. The willingness of our customers to utilize our wireless infrastructure, or renew or extend existing leases on our wireless infrastructure, is affected by numerous factors, including:</w:t>
      </w:r>
    </w:p>
    <w:p>
      <w:pPr>
        <w:spacing w:after="0" w:line="127" w:lineRule="exact"/>
        <w:rPr>
          <w:sz w:val="20"/>
          <w:szCs w:val="20"/>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demand for wireless connectivity;</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or capacity of our wireless infrastructure or associated land interests;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location of our wireless infrastructure;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condition of our customers, including their profitability and availability or cost of capital;</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of our customers to maintain or increase their network investment or changes in their capital allocation strategy;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and cost of spectrum for commercial use;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use of network sharing, roaming, joint development, or resale agreements by our customers;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or consolidations among our customers;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success of, our customers' business models;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regulations, including local or state restrictions on the proliferation of wireless infrastructure;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constructing wireless infrastructure;</w:t>
      </w:r>
    </w:p>
    <w:p>
      <w:pPr>
        <w:spacing w:after="0" w:line="9"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changes, including those (1) affecting the number or type of wireless infrastructure needed to provide wireless connectivity to a given geographic area or which may otherwise serve as substitute or alternative to our wireless infrastructure or (2) resulting in the obsolescence or decommissioning of certain existing wireless networks; or</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efficiently satisfy our customers' service requirements.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7" w:right="239" w:bottom="1440" w:gutter="0" w:footer="0" w:header="0"/>
        </w:sectPr>
      </w:pPr>
    </w:p>
    <w:bookmarkStart w:id="10" w:name="page11"/>
    <w:bookmarkEnd w:id="10"/>
    <w:p>
      <w:pPr>
        <w:jc w:val="both"/>
        <w:ind w:left="60" w:firstLine="405"/>
        <w:spacing w:after="0" w:line="259" w:lineRule="auto"/>
        <w:rPr>
          <w:sz w:val="20"/>
          <w:szCs w:val="20"/>
          <w:color w:val="auto"/>
        </w:rPr>
      </w:pPr>
      <w:r>
        <w:rPr>
          <w:rFonts w:ascii="Arial" w:cs="Arial" w:eastAsia="Arial" w:hAnsi="Arial"/>
          <w:sz w:val="18"/>
          <w:szCs w:val="18"/>
          <w:color w:val="auto"/>
        </w:rPr>
        <w:t>A slowdown in demand for wireless connectivity or our wireless infrastructure may negatively impact our growth or otherwise have a material adverse effect on us. If our customers or potential customers are unable to raise adequate capital to fund their business plans, as a result of disruptions in the financial and credit markets or otherwise, they may reduce their spending, which could adversely affect our anticipated growth or the demand for our wireless infrastructure or network services.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amount, timing, and mix of our customers' network investment is variable and can be significantly impacted by the various matters described in these risk factors. Changes in carrier network investment typically impact the demand for our wireless infrastructure. As a result, changes in carrier plans such as delays in the implementation of new systems, new technologies (including small cells), or plans to expand coverage or capacity may reduce demand for our wireless infrastructure. Furthermore, the wireless industry could experience a slowdown or slowing growth rates as a result of numerous factors, including a reduction in consumer demand for wireless connectivity or general economic conditions. There can be no assurances that weakness or uncertainty in the economic environment will not adversely impact the wireless industry, which may materially and adversely affect our business, including by reducing demand for our wireless infrastructure or network services. In addition, a slowdown may increase competition for site rental customers or network services. A wireless industry slowdown or a reduction in carrier network investment may materially and adversely affect our business. For a further discussion of our risks relating to network services, see </w:t>
      </w:r>
      <w:r>
        <w:rPr>
          <w:rFonts w:ascii="Arial" w:cs="Arial" w:eastAsia="Arial" w:hAnsi="Arial"/>
          <w:sz w:val="17"/>
          <w:szCs w:val="17"/>
          <w:i w:val="1"/>
          <w:iCs w:val="1"/>
          <w:color w:val="auto"/>
        </w:rPr>
        <w:t>"—Our network services business has historically experienced significant volatility in demand, which reduces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predictability of our results" </w:t>
      </w:r>
      <w:r>
        <w:rPr>
          <w:rFonts w:ascii="Arial" w:cs="Arial" w:eastAsia="Arial" w:hAnsi="Arial"/>
          <w:sz w:val="17"/>
          <w:szCs w:val="17"/>
          <w:color w:val="auto"/>
        </w:rPr>
        <w:t>below.</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 substantial portion of our revenues is derived from a small number of customers, and the loss, consolidation or financial instability of any of our limited number of customers may materially decrease revenues or reduce demand for our wireless infrastructure and network services.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2015, our site rental revenues by customer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118110</wp:posOffset>
            </wp:positionV>
            <wp:extent cx="3884930" cy="2169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493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loss of any one of our large customers as a result of consolidation, merger, bankruptcy, insolvency, network sharing, roaming, joint development, resale agreements by our customers or otherwise may result in (1) a material decrease in our revenues, (2) uncollectible account receivables, (3) an impairment of our deferred site rental receivables, wireless infrastructure assets, intangible assets, or (4) other adverse effects to our business. We cannot guarantee that leases with our major customers will not be terminated or that these customers will renew their leases with us. In addition to our four largest customers, we also derive a portion of our revenues and anticipated future growth from new entrants offering or contemplating offering wireless services; such customers may be smaller or have less financial resources than our four largest customers, have business models which may not be successful, or may require additional capital. See also </w:t>
      </w:r>
      <w:r>
        <w:rPr>
          <w:rFonts w:ascii="Arial" w:cs="Arial" w:eastAsia="Arial" w:hAnsi="Arial"/>
          <w:sz w:val="16"/>
          <w:szCs w:val="16"/>
          <w:i w:val="1"/>
          <w:iCs w:val="1"/>
          <w:color w:val="auto"/>
        </w:rPr>
        <w:t>"Item 1. Business—The Company"</w:t>
      </w:r>
      <w:r>
        <w:rPr>
          <w:rFonts w:ascii="Arial" w:cs="Arial" w:eastAsia="Arial" w:hAnsi="Arial"/>
          <w:sz w:val="16"/>
          <w:szCs w:val="16"/>
          <w:color w:val="auto"/>
        </w:rPr>
        <w:t xml:space="preserve"> and note 16 to our consolidated financial statements.</w:t>
      </w:r>
    </w:p>
    <w:p>
      <w:pPr>
        <w:spacing w:after="0" w:line="11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Consolidation among our customers will likely result in duplicate or overlapping parts of networks, for example where they are co-residents on a tower, which may result in the termination or non-renewal of tenant leases and impact revenues from our wireless infrastructure. We expect that any termination of tenant leases as a result of this potential consolidation would be spread over multiple years. Such consolidation may result in a reduction in such customers' future network investment in the aggregate because their expansion plans may be similar. Wireless carrier consolidation could decrease the demand for our wireless infrastructure, which in turn may result in a reduction in our revenues or cash flows.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7" w:right="239" w:bottom="1440" w:gutter="0" w:footer="0" w:header="0"/>
        </w:sectPr>
      </w:pPr>
    </w:p>
    <w:bookmarkStart w:id="11" w:name="page12"/>
    <w:bookmarkEnd w:id="11"/>
    <w:p>
      <w:pPr>
        <w:jc w:val="both"/>
        <w:ind w:firstLine="405"/>
        <w:spacing w:after="0" w:line="273" w:lineRule="auto"/>
        <w:rPr>
          <w:sz w:val="20"/>
          <w:szCs w:val="20"/>
          <w:color w:val="auto"/>
        </w:rPr>
      </w:pPr>
      <w:r>
        <w:rPr>
          <w:rFonts w:ascii="Arial" w:cs="Arial" w:eastAsia="Arial" w:hAnsi="Arial"/>
          <w:sz w:val="17"/>
          <w:szCs w:val="17"/>
          <w:color w:val="auto"/>
        </w:rPr>
        <w:t>In recent years, AT&amp;T, T-Mobile and Sprint acquired Leap Wireless, MetroPCS, and Clearwire, respectively. During 2016, we expect site rental revenues to be impacted by non-renewals of $70 million to $80 million as a result of the decommissioning of the Acquired Networks. The Acquired Networks represented approximately 10% of our net revenues for the year ended December 31, 2015. We currently expect potential non-renewals from the decommissioning of the Acquired Networks to be approximately 60% of current run-rate site rental revenues related to the Acquired Networks, with the majority of such non-renewals to occur predominately from 2016 through 2018. Depending on the eventual network deployment and decommissioning plans of AT&amp;T, T-Mobile and Sprint, the impact and timing of such non-renewals may vary from our expectations.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15 to our consolidated financial statements for a tabular presentation of the minimum rental cash payments due to us by tenants pursuant to tenant agreements without consideration of tenant renewal options.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business model for our small cell operations contains certain differences from our traditional site rental business, resulting in different operational risks. If we do not successfully operate that business model or identify or manage those operational risks, such operations may produce results that are less than anticipated.</w:t>
      </w:r>
    </w:p>
    <w:p>
      <w:pPr>
        <w:spacing w:after="0" w:line="12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business model for our small cell operations contains certain differences from our traditional tower operations, including differences relating to customer contract terms, landlord demographics, ownership of certain network assets, operational oversight requirements (including requirements for service level agreements regarding network performance and maintenance), and applicable laws. While our small cell operations have certain risks that are similar to our tower operations, they also have certain operational risks that are different from our traditional site rental business, including the (1) use of competitive local exchange carrier, which we refer to as CLEC status, (2) use of public rights-of-ways and franchise agreements, (3) use of poles owned solely by, or jointly with, third parties, or (4) risks relating to overbuilding. We cannot be certain that we will be successful in maintaining right-of-way agreements, obtaining future agreements on acceptable terms, or that our CLEC status will be recognized. In addition, the rate at which wireless carriers adopt or prioritize small cells may be lower or slower than we anticipate. Our small cell operations will also expose us to different safety or liability risks or hazards than our traditional site rental business as a result of numerous factors, including the location or nature of the assets involved. Because small cells are comparatively new technologies and are continuing to evolve, there may be other risks related to small cells of which we are not yet aware.</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substantial level of indebtedness could adversely affect our ability to react to changes in our business, and the terms of our debt instruments and Convertible Preferred Stock limit our ability to take a number of actions that our management might otherwise believe to be in our best interests. In addition, if we fail to comply with our covenants, our debt could be accelerated.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result of our substantial indebtedness:</w:t>
      </w:r>
    </w:p>
    <w:p>
      <w:pPr>
        <w:spacing w:after="0" w:line="171"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or industry conditions;</w:t>
      </w:r>
    </w:p>
    <w:p>
      <w:pPr>
        <w:spacing w:after="0" w:line="23"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find it more difficult to obtain additional financing to fund discretionary investments or other general corporate requirements or to refinance our existing indebtedness;</w:t>
      </w:r>
    </w:p>
    <w:p>
      <w:pPr>
        <w:ind w:left="820" w:hanging="407"/>
        <w:spacing w:after="0" w:line="281"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or will be required to dedicate a substantial portion of our cash flows from operations to the payment of principal or interest on our debt, thereby reducing the available cash flows to fund other projects, including the discretionary investments discussed in "</w:t>
      </w:r>
      <w:r>
        <w:rPr>
          <w:rFonts w:ascii="Arial" w:cs="Arial" w:eastAsia="Arial" w:hAnsi="Arial"/>
          <w:sz w:val="16"/>
          <w:szCs w:val="16"/>
          <w:i w:val="1"/>
          <w:iCs w:val="1"/>
          <w:color w:val="auto"/>
        </w:rPr>
        <w:t>Item 1. Business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limited flexibility in planning for, or reacting to, changes in our business or in the industry;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a competitive disadvantage relative to other companies in our industry with less debt;</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adversely impacted by changes in interest rates;</w:t>
      </w:r>
    </w:p>
    <w:p>
      <w:pPr>
        <w:spacing w:after="0" w:line="9"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issue equity securities or securities convertible into equity or sell some of our assets, possibly on unfavorable terms, in order to meet payment obligations;</w:t>
      </w:r>
    </w:p>
    <w:p>
      <w:pPr>
        <w:ind w:left="820" w:hanging="407"/>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limited in our ability to take advantage of strategic business opportunities, including wireless infrastructure development or mergers and acquisitions; or</w:t>
      </w:r>
    </w:p>
    <w:p>
      <w:pPr>
        <w:jc w:val="both"/>
        <w:ind w:left="820" w:hanging="407"/>
        <w:spacing w:after="0" w:line="255"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we could fail to remain qualified for taxation as a REIT as a result of limitations on our ability to declare and pay dividends to stockholders as a result of restrictive covenants in our debt instruments or the terms of our 4.50% Mandatory Convertible Preferred Stock, Series A ("Convertible Preferred Stock").</w:t>
      </w:r>
    </w:p>
    <w:p>
      <w:pPr>
        <w:spacing w:after="0" w:line="13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Currently we have debt instruments in place that limit in certain circumstances our ability to incur additional indebtedness, pay dividends, create liens, sell assets, or engage in certain mergers and acquisitions, among other things. In addition, the credit agreement governing our senior unsecured credit facility agreement ("2016 Credit Facility") contains financial maintenance covenants. Our ability to comply with these covenants or to satisfy our debt obligations will depend on our future operating performance. If we violate the restrictions in our debt instruments or fail to comply with our financial maintenance covenants, we will be in default under those instruments, which in some cases would cause the maturity of a substantial portion of our long-term indebtedness to be accelerated. Furthermore, if the limits on our ability to pay dividends prevent us from satisfying our REIT distribution requirements, we could fail to remain qualified for taxation as a REIT. </w:t>
      </w:r>
      <w:r>
        <w:rPr>
          <w:rFonts w:ascii="Arial" w:cs="Arial" w:eastAsia="Arial" w:hAnsi="Arial"/>
          <w:sz w:val="17"/>
          <w:szCs w:val="17"/>
          <w:color w:val="231F20"/>
        </w:rPr>
        <w:t>If these limits do not jeopardize our qualification for taxation as a REIT but nevertheless prevent us from distributing</w:t>
      </w:r>
      <w:r>
        <w:rPr>
          <w:rFonts w:ascii="Arial" w:cs="Arial" w:eastAsia="Arial" w:hAnsi="Arial"/>
          <w:sz w:val="17"/>
          <w:szCs w:val="17"/>
          <w:color w:val="auto"/>
        </w:rPr>
        <w:t xml:space="preserve"> </w:t>
      </w:r>
      <w:r>
        <w:rPr>
          <w:rFonts w:ascii="Arial" w:cs="Arial" w:eastAsia="Arial" w:hAnsi="Arial"/>
          <w:sz w:val="17"/>
          <w:szCs w:val="17"/>
          <w:color w:val="231F20"/>
        </w:rPr>
        <w:t>100% of our REIT taxable income, we will be subject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7"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231F20"/>
        </w:rPr>
        <w:t xml:space="preserve">federal and state corporate income taxes, and potentially a nondeductible excise tax, on our undistributed taxable income. </w:t>
      </w:r>
      <w:r>
        <w:rPr>
          <w:rFonts w:ascii="Arial" w:cs="Arial" w:eastAsia="Arial" w:hAnsi="Arial"/>
          <w:sz w:val="18"/>
          <w:szCs w:val="18"/>
          <w:color w:val="000000"/>
        </w:rPr>
        <w:t>If our operating subsidiaries were to</w:t>
      </w:r>
      <w:r>
        <w:rPr>
          <w:rFonts w:ascii="Arial" w:cs="Arial" w:eastAsia="Arial" w:hAnsi="Arial"/>
          <w:sz w:val="18"/>
          <w:szCs w:val="18"/>
          <w:color w:val="231F20"/>
        </w:rPr>
        <w:t xml:space="preserve"> </w:t>
      </w:r>
      <w:r>
        <w:rPr>
          <w:rFonts w:ascii="Arial" w:cs="Arial" w:eastAsia="Arial" w:hAnsi="Arial"/>
          <w:sz w:val="18"/>
          <w:szCs w:val="18"/>
          <w:color w:val="000000"/>
        </w:rPr>
        <w:t xml:space="preserve">default on their debt, the trustee could seek to foreclose the collateral securing such debt, in which case we could lose the wireless infrastructure and the revenues associated with the wireless infrastructure. See </w:t>
      </w:r>
      <w:r>
        <w:rPr>
          <w:rFonts w:ascii="Arial" w:cs="Arial" w:eastAsia="Arial" w:hAnsi="Arial"/>
          <w:sz w:val="18"/>
          <w:szCs w:val="18"/>
          <w:i w:val="1"/>
          <w:iCs w:val="1"/>
          <w:color w:val="000000"/>
        </w:rPr>
        <w:t>"Item 7. MD&amp;A—Liquidity and Capital Resources—Debt Covenants"</w:t>
      </w:r>
      <w:r>
        <w:rPr>
          <w:rFonts w:ascii="Arial" w:cs="Arial" w:eastAsia="Arial" w:hAnsi="Arial"/>
          <w:sz w:val="18"/>
          <w:szCs w:val="18"/>
          <w:color w:val="000000"/>
        </w:rPr>
        <w:t xml:space="preserve"> for a further discussion of our debt covenants.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CCIC is a holding company that conducts all of its operations through its subsidiaries. Accordingly, CCIC's sources of cash to pay interest or principal on its outstanding indebtedness are distributions relating to its respective ownership interests in its subsidiaries from the net earnings and cash flows generated by such subsidiaries or from proceeds of debt or equity offerings. Earnings and cash flows generated by CCIC's subsidiaries are first applied by such subsidiaries to conduct their operations, including servicing their respective debt obligations, after which any excess cash flows generally may be paid to such holding company, in the absence of any special conditions such as a continuing event of default. However, CCIC's subsidiaries are legally distinct from the holding company and, unless they guarantee such debt, have no obligation to pay amounts due on their debt or to make funds available to us for such payment.</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If we fail to pay scheduled dividends on the Convertible Preferred Stock, in cash, common stock, or any combination of cash and common stock, we will be prohibited from paying dividends on our common stock, which may jeopardize our status as a REIT.</w:t>
      </w:r>
    </w:p>
    <w:p>
      <w:pPr>
        <w:spacing w:after="0" w:line="11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to meet our debt payment obligations.</w:t>
      </w:r>
    </w:p>
    <w:p>
      <w:pPr>
        <w:spacing w:after="0" w:line="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a substantial amount of indebtedness (approximately $12.1 billion as of February 15, 2016), which we will need to refinance or repay. See </w:t>
      </w:r>
      <w:r>
        <w:rPr>
          <w:rFonts w:ascii="Arial" w:cs="Arial" w:eastAsia="Arial" w:hAnsi="Arial"/>
          <w:sz w:val="18"/>
          <w:szCs w:val="18"/>
          <w:i w:val="1"/>
          <w:iCs w:val="1"/>
          <w:color w:val="auto"/>
        </w:rPr>
        <w:t xml:space="preserve">"Item 7. MD&amp;A—Liquidity and Capital Resources" </w:t>
      </w:r>
      <w:r>
        <w:rPr>
          <w:rFonts w:ascii="Arial" w:cs="Arial" w:eastAsia="Arial" w:hAnsi="Arial"/>
          <w:sz w:val="18"/>
          <w:szCs w:val="18"/>
          <w:color w:val="auto"/>
        </w:rPr>
        <w:t>for a tabular presentation of our contractual debt maturities. There can be no assurances we will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refinance our indebtedness (1) on commercially reasonable terms, (2) on terms, including with respect to interest rates, as favorable as our current debt, or (3) at all.</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Economic conditions and the credit markets have historically experienced, and may continue to experience, periods of volatility, uncertainty, or weakness that could impact the availability or cost of debt financing, including any refinancing of the obligations described above or on our ability to draw the full amount of our $2.5 billion revolving credit facility ("2016 Revolver"), that, as of February 15, 2016, has $2.1 billion of undrawn availability.</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we are unable to repay or refinance our debt, we cannot guarantee that we will be able to generate enough cash flows from operations or that we will be able to obtain enough capital to service our debt, fund our planned capital expenditures or pay future dividends. In such an event, we could face substantial liquidity issues and might be required to issue equity securities or securities convertible into equity securities, or sell some of our assets to meet our debt payment obligations. Failure to repay or refinance indebtedness when required could result in a default under such indebtedness. If we incur additional indebtedness, any such indebtedness could exacerbate the risks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or issuances of a substantial number of shares of our common stock may adversely affect the market price of our common stock.</w:t>
      </w:r>
    </w:p>
    <w:p>
      <w:pPr>
        <w:spacing w:after="0" w:line="1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Future sales or issuances of common stock or other equity related securities may adversely affect the market price of our common stock, including any shares of our common stock issued to finance capital expenditures, finance acquisitions or repay debt. Our business strategy contemplates access to external financing to fund certain discretionary investments, which may include issuances of common stock or other equity related securities. In August 2015, we established an "at-the-market" stock offering program ("ATM Program") through which we may, from time to time, issue and sell shares of our common stock having an aggregate gross sales price of up to $500.0 million to or through sales agents. As of February 15, 2016, we had 333.8 shares of common stock outstanding.</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We have reserved 12.3 million and 14.5 million of shares of common stock, respectively, for issuance in connection with awards granted under our various stock compensation plans and our Convertible Preferred Stock, which will automatically convert into common stock on November 1, 2016. See </w:t>
      </w:r>
      <w:r>
        <w:rPr>
          <w:rFonts w:ascii="Arial" w:cs="Arial" w:eastAsia="Arial" w:hAnsi="Arial"/>
          <w:sz w:val="16"/>
          <w:szCs w:val="16"/>
          <w:i w:val="1"/>
          <w:iCs w:val="1"/>
          <w:color w:val="auto"/>
        </w:rPr>
        <w:t>"Item</w:t>
      </w:r>
    </w:p>
    <w:p>
      <w:pPr>
        <w:ind w:firstLine="8"/>
        <w:spacing w:after="0" w:line="261" w:lineRule="auto"/>
        <w:tabs>
          <w:tab w:leader="none" w:pos="198"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MD&amp;A—Liquidity and Capital Resources—Preferred Stock." </w:t>
      </w:r>
      <w:r>
        <w:rPr>
          <w:rFonts w:ascii="Arial" w:cs="Arial" w:eastAsia="Arial" w:hAnsi="Arial"/>
          <w:sz w:val="18"/>
          <w:szCs w:val="18"/>
          <w:color w:val="auto"/>
        </w:rPr>
        <w:t>The dividends on our Convertible Preferred Stock may also be paid in cash or,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limitations, shares of common stock or any combination of cash and shares of common stock.</w:t>
      </w:r>
    </w:p>
    <w:p>
      <w:pPr>
        <w:spacing w:after="0" w:line="13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Further, a small number of common stockholders own a significant percentage of our outstanding common stock. If any one of these common stockholders, or any group of our common stockholders, sells a large quantity of shares of our common stock, or the public market perceives that existing common stockholders might sell a large quantity of shares of our common stock, the market price of our common stock may significantly decline.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7"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As a result of competition in our industry, we may find it more difficult to achieve favorable rental rates on our new or renewing tenant leases.</w:t>
      </w:r>
    </w:p>
    <w:p>
      <w:pPr>
        <w:spacing w:after="0" w:line="19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growth is dependent on our entering into new tenant leases (including amendments to leases upon modification of an existing installation), as well as renewing or renegotiating tenant leases when existing tenant leases terminate. Competition in our industry may make it more difficult for us to attract new customers, maintain or increase our gross margins, or maintain or increase our market share. We face competition for site rental tenants from various sources, including (1) other independent wireless infrastructure owners or operators, including towers, rooftops, broadcast towers, utility poles, fiber providers, DAS or other small cells, or (2) new alternative deployment methods in the wireless industry.</w:t>
      </w:r>
    </w:p>
    <w:p>
      <w:pPr>
        <w:spacing w:after="0" w:line="2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small cell operations may have different competitors than our traditional site rental business, including other owners of small cells or fiber, as well as new entrants into small cells, some of which may have larger networks or greater financial resources than we have.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may reduce demand for our wireless infrastructure or negatively impact our revenues.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Improvements in the efficiency, architecture, and design of wireless networks may reduce the demand for our wireless infrastructure. For example, new technologies that may promote network sharing, joint development, or resale agreements by our customers, such as signal combining technologies or network functions virtualization, may reduce the need for our wireless infrastructure. In addition, other technologies, such as WiFi, DAS, femtocells, other small cells, or satellite (such as low earth orbiting) and mesh transmission systems may, in the future, serve as substitutes for, or alternatives to, leasing that might otherwise be anticipated or expected on wireless infrastructure had such technologies not existed. In addition, new technologies that enhance the range, efficiency, and capacity of wireless equipment could reduce demand for our wireless infrastructure. Any significant reduction in demand for our wireless infrastructure resulting from the new technologies may negatively impact our revenues or otherwise have a material adverse effect on us.</w:t>
      </w:r>
    </w:p>
    <w:p>
      <w:pPr>
        <w:spacing w:after="0" w:line="1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expansion or development of our business, including through acquisitions, increased product offerings or other strategic growth opportunities, may cause disruptions in our business, which may have an adverse effect on our business, operations or financial results.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seek to expand and develop our business, including through acquisitions, increased product offerings (such as small cells and fiber), or other strategic growth opportunities. In the ordinary course of our business, we review, analyze, and evaluate various potential transactions or other activities in which we may engage. Such transactions or activities could cause disruptions in, increase risk or otherwise negatively impact our business. Among other things, such transactions and activities may:</w:t>
      </w:r>
    </w:p>
    <w:p>
      <w:pPr>
        <w:spacing w:after="0" w:line="133"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 our business relationships with our customers, depending on the nature of or counterparty to such transactions and activities;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the time or attention of management away from other business operations;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achieve revenue or margin targets, operational synergies or other benefits contemplated;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operational risk or volatility in our business; or</w:t>
      </w:r>
    </w:p>
    <w:p>
      <w:pPr>
        <w:spacing w:after="0" w:line="9"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 in current or prospective employees experiencing uncertainty about their future roles with us, which might adversely affect our ability to retain or attract key managers or other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retain rights to our wireless infrastructure, including the land interests under our towers, our business may be adversely affected.</w:t>
      </w:r>
    </w:p>
    <w:p>
      <w:pPr>
        <w:spacing w:after="0" w:line="18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property interests on which our wireless infrastructure resides, including the land interests under our towers, consist of leasehold and sub-leasehold interests, fee interests, easements, licenses, and rights-of-way. A loss of these interests may interfere with our ability to conduct our business or generate revenues. For various reasons, we may not always have the ability to access, analyze, or verify all information regarding titles or other issues prior to purchasing wireless infrastructure. Further, we may not be able to renew ground leases on commercially viable terms. Our ability to retain rights to the land interests on which our towers reside depends on our ability to purchase such land, including fee interests and perpetual easements, or renegotiate or extend the terms of the leases relating to such land. Approximately 11% of our site rental gross margins for the year ended December 31, 2015 were derived from towers where the leases for the interests under such towers had final expiration dates of less than ten years. If we are unable to retain rights to the property interests on which our wireless infrastructure resides, our business may be adversely affected.</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2015, approximately 54% of our towers were leased or subleased or operated and managed under master leases, subleases, or other agreements with AT&amp;T, Sprint, and T-Mobile. We have the option to purchase these towers at the end of their respective lease terms. We have no obligation to exercise such purchase options. We may not have the required available capital to exercise our right to purchase some or all of these towers at the time these options are exercisable. Even if we do have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7"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available capital, we may choose not to exercise our right to purchase these towers or some or all of the T-Mobile or AT&amp;T towers for business or other reasons. In the event that we do not exercise these purchase rights, or are otherwise unable to acquire an interest that would allow us to continue to operate these towers after the applicable period, we will lose the cash flows derived from such towers, which may have a material adverse effect on our business. In the event that we decide to exercise these purchase rights, the benefits of the acquisition of these towers may not exceed the costs, which could adversely affect our business. Additional information concerning these towers and the applicable purchase options as of December 31, 2015 is as follows:</w:t>
      </w:r>
    </w:p>
    <w:p>
      <w:pPr>
        <w:spacing w:after="0" w:line="104" w:lineRule="exact"/>
        <w:rPr>
          <w:sz w:val="20"/>
          <w:szCs w:val="20"/>
          <w:color w:val="auto"/>
        </w:rPr>
      </w:pPr>
    </w:p>
    <w:p>
      <w:pPr>
        <w:jc w:val="both"/>
        <w:ind w:left="820" w:hanging="407"/>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23% of our towers are leased or subleased or operated and managed under a master prepaid lease or other related agreements with AT&amp;T for a weighted-average initial term of approximately 28 years, weighted on site rental gross margin. We have the option to purchase the leased and subleased towers from AT&amp;T at the end of the respective lease or sublease terms for aggregate option payments of approximately $4.2 billion, which payments, if exercised, would be due between 2032 and 2048.</w:t>
      </w:r>
    </w:p>
    <w:p>
      <w:pPr>
        <w:spacing w:after="0" w:line="132" w:lineRule="exact"/>
        <w:rPr>
          <w:rFonts w:ascii="Arial" w:cs="Arial" w:eastAsia="Arial" w:hAnsi="Arial"/>
          <w:sz w:val="18"/>
          <w:szCs w:val="18"/>
          <w:color w:val="auto"/>
        </w:rPr>
      </w:pPr>
    </w:p>
    <w:p>
      <w:pPr>
        <w:jc w:val="both"/>
        <w:ind w:left="820" w:hanging="407"/>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16% of our towers are leased or subleased or operated and managed for an initial period of 32 years (through May 2037) under master leases, subleases or other agreements with Sprint. We have the option to purchase in 2037 all (but not less than all) of the leased and subleased Sprint towers from Sprint for approximately $2.3 billion.</w:t>
      </w:r>
    </w:p>
    <w:p>
      <w:pPr>
        <w:spacing w:after="0" w:line="127" w:lineRule="exact"/>
        <w:rPr>
          <w:rFonts w:ascii="Arial" w:cs="Arial" w:eastAsia="Arial" w:hAnsi="Arial"/>
          <w:sz w:val="18"/>
          <w:szCs w:val="18"/>
          <w:color w:val="auto"/>
        </w:rPr>
      </w:pPr>
    </w:p>
    <w:p>
      <w:pPr>
        <w:jc w:val="both"/>
        <w:ind w:left="820" w:hanging="407"/>
        <w:spacing w:after="0" w:line="291"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Approximately 15% of our towers are leased or subleased or operated and managed under a master prepaid lease or other related agreements with T-Mobile for a weighted-average initial term of approximately 28 years, weighted on site rental gross margin. We have the option to purchase the leased and subleased towers from T-Mobile at the end of the respective lease or sublease terms for aggregate option payments of approximately $2.0 billion, which payments, if exercised, would be due between 2035 and 2049. In addition, through the T-Mobile Acquisition, there are another approximately 1% of our towers subject to a lease and sublease or other related arrangements with AT&amp;T. We have the option to purchase these towers that we do not otherwise already own at the end of their respective lease terms for aggregate option payments of up to approximately $405 million, which payments, if exercised, would be due between 2018 and 2032 (less than $10 million would be due before 2025).</w:t>
      </w:r>
    </w:p>
    <w:p>
      <w:pPr>
        <w:spacing w:after="0" w:line="11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Under master lease or master prepaid lease arrangements we have with AT&amp;T, Sprint and T-Mobile, certain of our subsidiaries lease or sublease, or are otherwise granted the right to manage and operate, towers from bankruptcy remote subsidiaries of such carriers. If one of these bankruptcy remote subsidiaries should become a debtor in a bankruptcy proceeding and is permitted to reject the underlying ground lease, our subsidiaries could lose their interest in the applicable sites. If our subsidiaries were to lose their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network services business has historically experienced significant volatility in demand, which reduces the predictability of our results.</w:t>
      </w:r>
    </w:p>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operating results of our network services business for any particular period may vary significantly and should not necessarily be considered indicative of longer-term results for this activity. Our network services business is generally driven by demand for our wireless infrastructure and may be adversely impacted by various factors, including:</w:t>
      </w:r>
    </w:p>
    <w:p>
      <w:pPr>
        <w:spacing w:after="0" w:line="127"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customer network investments;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volume of customer deployment plans;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delays or challenges relating to work performed;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weakness or uncertainty;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or</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size, scope, or volume of work performed.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wireless technologies may not deploy or be adopted by customers as rapidly or in the manner projected.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can be no assurances that new wireless services or technologies will be introduced or deployed as rapidly or in the manner projected by the wireless carriers. In addition, demand or customer adoption rates for such new technologies may be lower or slower than anticipated for numerous reasons. As a result, growth opportunities or demand for our wireless infrastructure arising from such technologies may not be realized at the times or to the extent anticipated.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 variety of federal, state, local, and foreign laws and regulations apply to our business, including those discussed in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Failure to comply with applicable requirements may lead to civil penalties or require us to assume indemnification obligations or breach contractual provisions. We cannot guarantee that existing or future laws or regulations, including state and local tax laws, will not adversely affect our business, increase delays or result in additional costs. These factors may have a material adverse effect on us.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radio frequency emissions from wireless handsets or equipment on our wireless infrastructure are demonstrated to cause negative health effects, potential future claims could adversely affect our operations, costs or revenues.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Public perception of possible health risks associated with cellular or other wireless connectivity services may slow or diminish the growth of wireless companies, which may in turn slow or diminish our growth. In particular, negative public perception of, and regulations regarding, these perceived health risks may slow or diminish the market acceptance of wireless services.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Certain provisions of our restated certificate of incorporation ("Charter"), amended and restated by-laws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a number of anti-takeover devices in place that will hinder takeover attempts or may reduce the market value of our common stock. Our anti-takeover provisions include:</w:t>
      </w:r>
    </w:p>
    <w:p>
      <w:pPr>
        <w:spacing w:after="0" w:line="116" w:lineRule="exact"/>
        <w:rPr>
          <w:sz w:val="20"/>
          <w:szCs w:val="20"/>
          <w:color w:val="auto"/>
        </w:rPr>
      </w:pPr>
    </w:p>
    <w:p>
      <w:pPr>
        <w:ind w:left="820" w:right="20" w:hanging="407"/>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staggered board of directors, which is currently being phased out but will not be fully declassified until our annual meeting of stockholders in May 2016;</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without approval of the holders of our common stock;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director nominations or actions to be taken at annual meetings.</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by-laws permit special meetings of the stockholders to be called only upon the request of our Chief Executive Officer or a majority of the board of directors, and deny stockholders the ability to call such meetings. Such provisions, as well as the provisions of Section 203 of the Delaware General Corporation Law, may impede a merger, consolidation, takeover, or other business combination or discourage a potential acquirer from making a tender offer or otherwise attempting to obtain control of us.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domestic or international competition laws may prevent or discourage us from acquiring wireless infrastructure in certain geographical areas or impede a merger, consolidation, takeover, or other business combination or discourage a potential acquirer from making a tender offer or otherwise attempting to obtain control of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security breaches that could adversely affect our operations, business, operations, and reputation.</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Despite existing security measures, certain of our wireless infrastructure may be vulnerable to damage, disruptions, or shutdowns due to unauthorized access, computer viruses, cyber-attacks, and other security breaches. An attack attempt or security breach could potentially result in (1) interruption or cessation of certain of our services to our customers, (2) our inability to meet expected levels of service, or (3) data transmitted over our customers' networks being compromised. We cannot guarantee that our security measures will not be circumvented, resulting in customer network failures or interruptions that could impact our customers' network availability and have a material adverse effect on our business, financial condition, or operational results. We may be required to expend significant resources to protect against or recover from such threats. If an actual or perceived breach of our security occurs, the market perception of the effectiveness of our security measures could be harmed, and we could lose customers. Further, the perpetrators of cyber-attacks are not restricted to particular groups or persons. These attacks may be committed by our employees or external actors operating in any geography. Any such events could result in legal claims or penalties, disruption in operations, misappropriation of sensitive data, damage to our reputation, negative market perception, or costly response measures, which could adversely affect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REIT Election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7" w:right="239" w:bottom="1440" w:gutter="0" w:footer="0" w:header="0"/>
        </w:sectPr>
      </w:pPr>
    </w:p>
    <w:bookmarkStart w:id="16" w:name="page17"/>
    <w:bookmarkEnd w:id="16"/>
    <w:p>
      <w:pPr>
        <w:jc w:val="both"/>
        <w:ind w:left="60"/>
        <w:spacing w:after="0" w:line="259" w:lineRule="auto"/>
        <w:rPr>
          <w:sz w:val="20"/>
          <w:szCs w:val="20"/>
          <w:color w:val="auto"/>
        </w:rPr>
      </w:pPr>
      <w:r>
        <w:rPr>
          <w:rFonts w:ascii="Arial" w:cs="Arial" w:eastAsia="Arial" w:hAnsi="Arial"/>
          <w:sz w:val="18"/>
          <w:szCs w:val="18"/>
          <w:b w:val="1"/>
          <w:bCs w:val="1"/>
          <w:i w:val="1"/>
          <w:iCs w:val="1"/>
          <w:color w:val="231F20"/>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spacing w:after="0" w:line="133" w:lineRule="exact"/>
        <w:rPr>
          <w:sz w:val="20"/>
          <w:szCs w:val="20"/>
          <w:color w:val="auto"/>
        </w:rPr>
      </w:pPr>
    </w:p>
    <w:p>
      <w:pPr>
        <w:jc w:val="both"/>
        <w:ind w:left="60" w:firstLine="405"/>
        <w:spacing w:after="0" w:line="293" w:lineRule="auto"/>
        <w:rPr>
          <w:sz w:val="20"/>
          <w:szCs w:val="20"/>
          <w:color w:val="auto"/>
        </w:rPr>
      </w:pPr>
      <w:r>
        <w:rPr>
          <w:rFonts w:ascii="Arial" w:cs="Arial" w:eastAsia="Arial" w:hAnsi="Arial"/>
          <w:sz w:val="16"/>
          <w:szCs w:val="16"/>
          <w:color w:val="auto"/>
        </w:rPr>
        <w:t>During each of the first three quarters of 2015, we paid a quarterly common stock dividend of $0.82 per share, totaling approximately $821.1 million. In October 2015, we increased our quarterly dividend, beginning in the fourth quarter of 2015, from an annual amount of $3.28 per share to an annual amount of $3.54 per share. As such, we declared a quarterly dividend of $0.885 per share in October 2015, which represented an increase of 8% from the quarterly dividend declared during each of the first three quarters of 2015. We currently expect such dividends to result in aggregate annual cash payments of approximately $1.2 billion during the next 12 months. Over time, we expect to increase our dividend per share generally commensurate with our realized growth in cash flows. Future dividends are subject to the approval of our board of directors. See notes 12 and 19 to our consolidated financial statements.</w:t>
      </w:r>
    </w:p>
    <w:p>
      <w:pPr>
        <w:spacing w:after="0" w:line="111" w:lineRule="exact"/>
        <w:rPr>
          <w:sz w:val="20"/>
          <w:szCs w:val="20"/>
          <w:color w:val="auto"/>
        </w:rPr>
      </w:pPr>
    </w:p>
    <w:p>
      <w:pPr>
        <w:jc w:val="both"/>
        <w:ind w:left="60" w:firstLine="405"/>
        <w:spacing w:after="0" w:line="276" w:lineRule="auto"/>
        <w:rPr>
          <w:sz w:val="20"/>
          <w:szCs w:val="20"/>
          <w:color w:val="auto"/>
        </w:rPr>
      </w:pPr>
      <w:r>
        <w:rPr>
          <w:rFonts w:ascii="Arial" w:cs="Arial" w:eastAsia="Arial" w:hAnsi="Arial"/>
          <w:sz w:val="17"/>
          <w:szCs w:val="17"/>
          <w:color w:val="auto"/>
        </w:rPr>
        <w:t xml:space="preserve">Effective January 1, 2014, we commenced operating as a REIT for U.S. federal income tax purposes. </w:t>
      </w:r>
      <w:r>
        <w:rPr>
          <w:rFonts w:ascii="Arial" w:cs="Arial" w:eastAsia="Arial" w:hAnsi="Arial"/>
          <w:sz w:val="17"/>
          <w:szCs w:val="17"/>
          <w:color w:val="231F20"/>
        </w:rPr>
        <w:t>To remain qualified and be taxed as a REIT, we</w:t>
      </w:r>
      <w:r>
        <w:rPr>
          <w:rFonts w:ascii="Arial" w:cs="Arial" w:eastAsia="Arial" w:hAnsi="Arial"/>
          <w:sz w:val="17"/>
          <w:szCs w:val="17"/>
          <w:color w:val="auto"/>
        </w:rPr>
        <w:t xml:space="preserve"> </w:t>
      </w:r>
      <w:r>
        <w:rPr>
          <w:rFonts w:ascii="Arial" w:cs="Arial" w:eastAsia="Arial" w:hAnsi="Arial"/>
          <w:sz w:val="17"/>
          <w:szCs w:val="17"/>
          <w:color w:val="231F20"/>
        </w:rPr>
        <w:t xml:space="preserve">will generally be required to distribute at least 90% of our REIT taxable income after the utilization of any available NOLs, (determined without regard to the dividends paid deduction and excluding net capital gain) each year to our stockholders. </w:t>
      </w:r>
      <w:r>
        <w:rPr>
          <w:rFonts w:ascii="Arial" w:cs="Arial" w:eastAsia="Arial" w:hAnsi="Arial"/>
          <w:sz w:val="17"/>
          <w:szCs w:val="17"/>
          <w:color w:val="000000"/>
        </w:rPr>
        <w:t>Our quarterly cash common stock dividend will delay the utilization</w:t>
      </w:r>
      <w:r>
        <w:rPr>
          <w:rFonts w:ascii="Arial" w:cs="Arial" w:eastAsia="Arial" w:hAnsi="Arial"/>
          <w:sz w:val="17"/>
          <w:szCs w:val="17"/>
          <w:color w:val="231F20"/>
        </w:rPr>
        <w:t xml:space="preserve"> </w:t>
      </w:r>
      <w:r>
        <w:rPr>
          <w:rFonts w:ascii="Arial" w:cs="Arial" w:eastAsia="Arial" w:hAnsi="Arial"/>
          <w:sz w:val="17"/>
          <w:szCs w:val="17"/>
          <w:color w:val="000000"/>
        </w:rPr>
        <w:t xml:space="preserve">of our NOLs and may cause certain of the NOLs to expire without utilization. See also </w:t>
      </w:r>
      <w:r>
        <w:rPr>
          <w:rFonts w:ascii="Arial" w:cs="Arial" w:eastAsia="Arial" w:hAnsi="Arial"/>
          <w:sz w:val="17"/>
          <w:szCs w:val="17"/>
          <w:i w:val="1"/>
          <w:iCs w:val="1"/>
          <w:color w:val="000000"/>
        </w:rPr>
        <w:t>"Item 7. MD&amp;A—General Overview—Common Stock Dividend"</w:t>
      </w:r>
      <w:r>
        <w:rPr>
          <w:rFonts w:ascii="Arial" w:cs="Arial" w:eastAsia="Arial" w:hAnsi="Arial"/>
          <w:sz w:val="17"/>
          <w:szCs w:val="17"/>
          <w:color w:val="000000"/>
        </w:rPr>
        <w:t xml:space="preserve"> and </w:t>
      </w:r>
      <w:r>
        <w:rPr>
          <w:rFonts w:ascii="Arial" w:cs="Arial" w:eastAsia="Arial" w:hAnsi="Arial"/>
          <w:sz w:val="17"/>
          <w:szCs w:val="17"/>
          <w:i w:val="1"/>
          <w:iCs w:val="1"/>
          <w:color w:val="000000"/>
        </w:rPr>
        <w:t>"Item 1. Business—2015 Industry Highlights and Company Developments—REIT Election."</w:t>
      </w:r>
    </w:p>
    <w:p>
      <w:pPr>
        <w:spacing w:after="0" w:line="11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"Item 1. MD&amp;A—Business—Strategy,"</w:t>
      </w:r>
      <w:r>
        <w:rPr>
          <w:rFonts w:ascii="Arial" w:cs="Arial" w:eastAsia="Arial" w:hAnsi="Arial"/>
          <w:sz w:val="18"/>
          <w:szCs w:val="18"/>
          <w:color w:val="auto"/>
        </w:rPr>
        <w:t xml:space="preserve"> we seek to invest our capital, including the net cash provided by our operating activities as well as external financing sources, in a manner that we believe will increase long-term stockholder value on a risk-adjusted basis. Our historical discretionary investments have included the following (in no particular order): purchasing our common stock, acquiring or constructing wireless infrastructure, acquiring land interests under towers, improving or structurally enhancing our existing wireless infrastructure, or purchasing, repaying or redeeming our debt. External financing, including debt, equity, and equity-related issuances to fund future discretionary investments either (1) may not be available to us or (2) may not be accessible by us at terms that would result in the investment of the net proceeds raised yielding incremental growth in our per share operating results. As a result, future dividend payments may hinder our ability to grow our per share results of operations or otherwise </w:t>
      </w:r>
      <w:r>
        <w:rPr>
          <w:rFonts w:ascii="Arial" w:cs="Arial" w:eastAsia="Arial" w:hAnsi="Arial"/>
          <w:sz w:val="18"/>
          <w:szCs w:val="18"/>
          <w:color w:val="231F20"/>
        </w:rPr>
        <w:t>adversely affect our ability to execute our</w:t>
      </w:r>
      <w:r>
        <w:rPr>
          <w:rFonts w:ascii="Arial" w:cs="Arial" w:eastAsia="Arial" w:hAnsi="Arial"/>
          <w:sz w:val="18"/>
          <w:szCs w:val="18"/>
          <w:color w:val="auto"/>
        </w:rPr>
        <w:t xml:space="preserve"> </w:t>
      </w:r>
      <w:r>
        <w:rPr>
          <w:rFonts w:ascii="Arial" w:cs="Arial" w:eastAsia="Arial" w:hAnsi="Arial"/>
          <w:sz w:val="18"/>
          <w:szCs w:val="18"/>
          <w:color w:val="231F20"/>
        </w:rPr>
        <w:t>business plan.</w:t>
      </w:r>
    </w:p>
    <w:p>
      <w:pPr>
        <w:spacing w:after="0" w:line="13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w:t>
      </w:r>
      <w:r>
        <w:rPr>
          <w:rFonts w:ascii="Arial" w:cs="Arial" w:eastAsia="Arial" w:hAnsi="Arial"/>
          <w:sz w:val="18"/>
          <w:szCs w:val="18"/>
          <w:i w:val="1"/>
          <w:iCs w:val="1"/>
          <w:color w:val="231F20"/>
        </w:rPr>
        <w:t>If we fail to pay scheduled dividends on the Convertible Preferred Stock, in cash, common stock, or any combination of cash and common</w:t>
      </w:r>
      <w:r>
        <w:rPr>
          <w:rFonts w:ascii="Arial" w:cs="Arial" w:eastAsia="Arial" w:hAnsi="Arial"/>
          <w:sz w:val="18"/>
          <w:szCs w:val="18"/>
          <w:color w:val="auto"/>
        </w:rPr>
        <w:t xml:space="preserve"> </w:t>
      </w:r>
      <w:r>
        <w:rPr>
          <w:rFonts w:ascii="Arial" w:cs="Arial" w:eastAsia="Arial" w:hAnsi="Arial"/>
          <w:sz w:val="18"/>
          <w:szCs w:val="18"/>
          <w:i w:val="1"/>
          <w:iCs w:val="1"/>
          <w:color w:val="231F20"/>
        </w:rPr>
        <w:t>stock, we will be prohibited from paying dividends on our common stock, which may jeopardize our status as a REIT</w:t>
      </w:r>
      <w:r>
        <w:rPr>
          <w:rFonts w:ascii="Arial" w:cs="Arial" w:eastAsia="Arial" w:hAnsi="Arial"/>
          <w:sz w:val="18"/>
          <w:szCs w:val="18"/>
          <w:i w:val="1"/>
          <w:iCs w:val="1"/>
          <w:color w:val="000000"/>
        </w:rPr>
        <w:t>"</w:t>
      </w:r>
      <w:r>
        <w:rPr>
          <w:rFonts w:ascii="Arial" w:cs="Arial" w:eastAsia="Arial" w:hAnsi="Arial"/>
          <w:sz w:val="18"/>
          <w:szCs w:val="18"/>
          <w:i w:val="1"/>
          <w:iCs w:val="1"/>
          <w:color w:val="231F20"/>
        </w:rPr>
        <w:t xml:space="preserve"> </w:t>
      </w:r>
      <w:r>
        <w:rPr>
          <w:rFonts w:ascii="Arial" w:cs="Arial" w:eastAsia="Arial" w:hAnsi="Arial"/>
          <w:sz w:val="18"/>
          <w:szCs w:val="18"/>
          <w:color w:val="000000"/>
        </w:rPr>
        <w:t>below</w:t>
      </w:r>
      <w:r>
        <w:rPr>
          <w:rFonts w:ascii="Arial" w:cs="Arial" w:eastAsia="Arial" w:hAnsi="Arial"/>
          <w:sz w:val="18"/>
          <w:szCs w:val="18"/>
          <w:i w:val="1"/>
          <w:iCs w:val="1"/>
          <w:color w:val="000000"/>
        </w:rPr>
        <w: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Remaining qualified to be taxed as a REIT involves highly technical and complex provisions of the US Internal Revenue Code. Failure to remain qualified as a REIT would result in our inability to deduct dividends to stockholders when computing our taxable income, which would reduce our available cash.</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January 1, 2014, we commenced operating as a REIT for U.S. federal tax purposes. As a REIT, we are generally entitled to a deduction for dividends that we pay and therefore are not subject to U.S. federal corporate income tax on our net taxable income that is currently distributed to our common stockholders.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While we intend to operate so that we remain qualified as a REIT, given the highly complex nature of the rules governing REITs, the ongoing importance of factual determinations, and the possibility of future changes in our circumstances, no assurance can be given that we will qualify as a REIT for any particular year.</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If, in any taxable year, we fail to qualify for taxation as a REIT and are not entitled to relief under the Code , then:</w:t>
      </w:r>
    </w:p>
    <w:p>
      <w:pPr>
        <w:spacing w:after="0" w:line="171"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we will not be allowed a deduction for dividends paid to stockholders in computing our taxable income;</w:t>
      </w:r>
    </w:p>
    <w:p>
      <w:pPr>
        <w:spacing w:after="0" w:line="171" w:lineRule="exact"/>
        <w:rPr>
          <w:rFonts w:ascii="Arial" w:cs="Arial" w:eastAsia="Arial" w:hAnsi="Arial"/>
          <w:sz w:val="18"/>
          <w:szCs w:val="18"/>
          <w:color w:val="231F20"/>
        </w:rPr>
      </w:pPr>
    </w:p>
    <w:p>
      <w:pPr>
        <w:ind w:left="820" w:hanging="407"/>
        <w:spacing w:after="0" w:line="277" w:lineRule="auto"/>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we will be subject to federal and state income tax, including any applicable alternative minimum tax, on our taxable income at regular corporate rates; and</w:t>
      </w:r>
    </w:p>
    <w:p>
      <w:pPr>
        <w:spacing w:after="0" w:line="116" w:lineRule="exact"/>
        <w:rPr>
          <w:rFonts w:ascii="Arial" w:cs="Arial" w:eastAsia="Arial" w:hAnsi="Arial"/>
          <w:sz w:val="18"/>
          <w:szCs w:val="18"/>
          <w:color w:val="231F20"/>
        </w:rPr>
      </w:pPr>
    </w:p>
    <w:p>
      <w:pPr>
        <w:ind w:left="820" w:hanging="407"/>
        <w:spacing w:after="0" w:line="277" w:lineRule="auto"/>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if such failure to qualify occurs after the effective date of our election to be taxed as a REIT for U.S. federal income tax purposes, we would be disqualified from re-electing REIT status for the four taxable years following the year during which we were so disqualified.</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Although we may have federal NOLs available to reduce any taxable income, to the extent our federal NOLs have been utilized or are otherwise unavailable, any such corporate tax liability could be substantial, would reduce the amount of cash available for other purposes and might necessitate the borrowing of additional funds or the liquidation of some investments to pay any additional tax liability. Accordingly, funds available for investment would be reduced.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7" w:right="239" w:bottom="1440" w:gutter="0" w:footer="0" w:header="0"/>
        </w:sectPr>
      </w:pPr>
    </w:p>
    <w:bookmarkStart w:id="17" w:name="page18"/>
    <w:bookmarkEnd w:id="17"/>
    <w:p>
      <w:pPr>
        <w:jc w:val="both"/>
        <w:ind w:firstLine="405"/>
        <w:spacing w:after="0" w:line="290" w:lineRule="auto"/>
        <w:rPr>
          <w:sz w:val="20"/>
          <w:szCs w:val="20"/>
          <w:color w:val="auto"/>
        </w:rPr>
      </w:pPr>
      <w:r>
        <w:rPr>
          <w:rFonts w:ascii="Arial" w:cs="Arial" w:eastAsia="Arial" w:hAnsi="Arial"/>
          <w:sz w:val="16"/>
          <w:szCs w:val="16"/>
          <w:color w:val="231F20"/>
        </w:rPr>
        <w:t xml:space="preserve">Under the Code, for taxable years beginning before 2018, no more than 25% of the value of the assets of a REIT may be represented by securities of one or more TRSs or other non-qualifying assets. </w:t>
      </w:r>
      <w:r>
        <w:rPr>
          <w:rFonts w:ascii="Arial" w:cs="Arial" w:eastAsia="Arial" w:hAnsi="Arial"/>
          <w:sz w:val="16"/>
          <w:szCs w:val="16"/>
          <w:color w:val="000000"/>
        </w:rPr>
        <w:t>For taxable years beginning in 2018, the limit on the value of assets of a REIT that may be represented by</w:t>
      </w:r>
      <w:r>
        <w:rPr>
          <w:rFonts w:ascii="Arial" w:cs="Arial" w:eastAsia="Arial" w:hAnsi="Arial"/>
          <w:sz w:val="16"/>
          <w:szCs w:val="16"/>
          <w:color w:val="231F20"/>
        </w:rPr>
        <w:t xml:space="preserve"> </w:t>
      </w:r>
      <w:r>
        <w:rPr>
          <w:rFonts w:ascii="Arial" w:cs="Arial" w:eastAsia="Arial" w:hAnsi="Arial"/>
          <w:sz w:val="16"/>
          <w:szCs w:val="16"/>
          <w:color w:val="000000"/>
        </w:rPr>
        <w:t xml:space="preserve">securities of one or more TRSs or other non-qualifying assets will reduce to 20%. </w:t>
      </w:r>
      <w:r>
        <w:rPr>
          <w:rFonts w:ascii="Arial" w:cs="Arial" w:eastAsia="Arial" w:hAnsi="Arial"/>
          <w:sz w:val="16"/>
          <w:szCs w:val="16"/>
          <w:color w:val="231F20"/>
        </w:rPr>
        <w:t>These current or future limitations may affect our ability to make additional</w:t>
      </w:r>
      <w:r>
        <w:rPr>
          <w:rFonts w:ascii="Arial" w:cs="Arial" w:eastAsia="Arial" w:hAnsi="Arial"/>
          <w:sz w:val="16"/>
          <w:szCs w:val="16"/>
          <w:color w:val="000000"/>
        </w:rPr>
        <w:t xml:space="preserve"> </w:t>
      </w:r>
      <w:r>
        <w:rPr>
          <w:rFonts w:ascii="Arial" w:cs="Arial" w:eastAsia="Arial" w:hAnsi="Arial"/>
          <w:sz w:val="16"/>
          <w:szCs w:val="16"/>
          <w:color w:val="231F20"/>
        </w:rPr>
        <w:t>investments in non-REIT qualifying operations or assets, or in any operations held through TRSs. 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or certain other non-qualifying assets to exceed current or future limitations of the fair market value of our assets at the end of any quarter, then we may fail to remain qualified as a REIT.</w:t>
      </w:r>
    </w:p>
    <w:p>
      <w:pPr>
        <w:spacing w:after="0" w:line="11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including the 90% distribution requirement, may limit our flexibility or cause us to forgo otherwise attractive opportunities, including certain discretionary investments and potential financing alternatives.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To remain qualified and be taxed as a REIT, we will generally be required to distribute at least 90% of our REIT taxable income after the utilization of any available NOLs (determined without regard to the dividends paid deduction and excluding net capital gain) each year to our stockholders. </w:t>
      </w:r>
      <w:r>
        <w:rPr>
          <w:rFonts w:ascii="Arial" w:cs="Arial" w:eastAsia="Arial" w:hAnsi="Arial"/>
          <w:sz w:val="18"/>
          <w:szCs w:val="18"/>
          <w:color w:val="000000"/>
        </w:rPr>
        <w:t>We</w:t>
      </w:r>
      <w:r>
        <w:rPr>
          <w:rFonts w:ascii="Arial" w:cs="Arial" w:eastAsia="Arial" w:hAnsi="Arial"/>
          <w:sz w:val="18"/>
          <w:szCs w:val="18"/>
          <w:color w:val="231F20"/>
        </w:rPr>
        <w:t xml:space="preserve"> </w:t>
      </w:r>
      <w:r>
        <w:rPr>
          <w:rFonts w:ascii="Arial" w:cs="Arial" w:eastAsia="Arial" w:hAnsi="Arial"/>
          <w:sz w:val="18"/>
          <w:szCs w:val="18"/>
          <w:color w:val="000000"/>
        </w:rPr>
        <w:t xml:space="preserve">commenced declaring regular quarterly dividends to our common stockholders beginning with the first quarter of 2014. </w:t>
      </w:r>
      <w:r>
        <w:rPr>
          <w:rFonts w:ascii="Arial" w:cs="Arial" w:eastAsia="Arial" w:hAnsi="Arial"/>
          <w:sz w:val="18"/>
          <w:szCs w:val="18"/>
          <w:color w:val="231F20"/>
        </w:rPr>
        <w:t>See notes</w:t>
      </w:r>
      <w:r>
        <w:rPr>
          <w:rFonts w:ascii="Arial" w:cs="Arial" w:eastAsia="Arial" w:hAnsi="Arial"/>
          <w:sz w:val="18"/>
          <w:szCs w:val="18"/>
          <w:color w:val="000000"/>
        </w:rPr>
        <w:t xml:space="preserve"> 12 and 19 </w:t>
      </w:r>
      <w:r>
        <w:rPr>
          <w:rFonts w:ascii="Arial" w:cs="Arial" w:eastAsia="Arial" w:hAnsi="Arial"/>
          <w:sz w:val="18"/>
          <w:szCs w:val="18"/>
          <w:color w:val="231F20"/>
        </w:rPr>
        <w:t>to our</w:t>
      </w:r>
      <w:r>
        <w:rPr>
          <w:rFonts w:ascii="Arial" w:cs="Arial" w:eastAsia="Arial" w:hAnsi="Arial"/>
          <w:sz w:val="18"/>
          <w:szCs w:val="18"/>
          <w:color w:val="000000"/>
        </w:rPr>
        <w:t xml:space="preserve"> </w:t>
      </w:r>
      <w:r>
        <w:rPr>
          <w:rFonts w:ascii="Arial" w:cs="Arial" w:eastAsia="Arial" w:hAnsi="Arial"/>
          <w:sz w:val="18"/>
          <w:szCs w:val="18"/>
          <w:color w:val="231F20"/>
        </w:rPr>
        <w:t>consolidated financial statements. Any such dividends, however, are subject to the determination and approval of our board of directors based on then-current and anticipated future conditions, including our earnings, net cash provided by operating activities, capital requirements, financial condition, our relative market capitalization, our existing federal NOLs of approximately $1.3 billion, of which substantially all are available to offset REIT taxable income, or other factors deemed relevant by our board of directors.</w:t>
      </w:r>
    </w:p>
    <w:p>
      <w:pPr>
        <w:spacing w:after="0" w:line="13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231F20"/>
        </w:rPr>
        <w:t>To the extent that we satisfy the 90% distribution requirement, but distribute less than 100% of our REIT taxable income (after the application of available NOLs, if any), we will be subject to federal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9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From time to time, we may generate REIT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to make distributions sufficient to enable us to pay out enough of our taxable income to satisfy the REIT dividend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Furthermore, the REIT dividend requirements may increase the financing we need to fund capital expenditures, future growth, or expansion initiatives, which would increase our total leverage.</w:t>
      </w:r>
    </w:p>
    <w:p>
      <w:pPr>
        <w:spacing w:after="0" w:line="1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231F20"/>
        </w:rPr>
        <w:t>In addition to satisfying the distribution test, to remain qualified as a REIT for tax purposes, we will need to continually satisfy tests concerning, among other things, the sources of our income, the nature and diversification of our assets and the ownership of our capital stock. Compliance with these tests will require us to refrain from certain activities and may hinder our ability to make certain attractive investments, including the purchase of non-qualifying assets, the expansion of non-real estate activities, or investments in the businesses to be conducted by our TRSs, and to that extent, limit our opportunities and our flexibility to change our business strategy. Furthermore, acquisition opportunities in domestic or international markets may be adversely affected if we need or require the target company to comply with some REIT requirements prior to completing any such acquisition. In addition, our conversion to a REIT may result in investor pressures not to pursue growth opportunities that are not immediately accretive.</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Moreover, if we fail to comply with certain asset ownership tests, at the end of any calendar quarter, we must correct the failure within 30 days after the end of the calendar quarter or qualify for certain statutory relief provisions to avoid losing our REIT qualification. As a result, we may be required to liquidate assets in adverse market conditions or forgo otherwise attractive investments. These actions may reduce our income and amounts available for distribution to our stockholders.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we fail to pay scheduled dividends on the Convertible Preferred Stock, in cash, common stock, or any combination of cash and common stock, we will be prohibited from paying dividends on our common stock, which may jeopardize our status as a REIT.</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The terms of the Convertible Preferred Stock provide that, unless accumulated dividends have been paid or set aside for payment on all outstanding Convertible Preferred Stock for all past dividend periods, no dividends may be declared or paid on our common stock. If that were to occur, the inability to pay dividends on our common stock might jeopardize our status as a REIT for U.S. federal income tax purposes. See note 12 to our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7"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We have limited experience operating as a REIT. Our failure to successfully operate as a REIT may adversely affect our financial condition, cash flow, the per share trading price of our common stock, or our ability to satisfy debt service obligations.</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231F20"/>
        </w:rPr>
        <w:t>We have limited operating history as a REIT. In addition, our senior management team has limited experience operating a REIT. We cannot assure you that our past experience will be sufficient to operate our company successfully as a REIT, including our ability to remain qualified as a REIT. Failure to maintain REIT status could adversely affect our financial condition, results of operations, cash flow, or ability to satisfy debt service obligations.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related ownership limitations and transfer restrictions may prevent or restrict certain transfers of our capital stock.</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order for us to continue to satisfy the requirements for REIT qualification, our capital stock must be beneficially owned by 100 or more persons during at least 335 days of a taxable year of 12 months or during a proportionate part of a shorter taxable year (other than the first year for which an election to be a REIT has been made). Also, not more than 50% of the value of the outstanding shares of our capital stock may be owned, directly or indirectly, by five or fewer “individuals” (as defined in the Code to include certain entities such as private foundations) during the last half of a taxable year (other than the first taxable year for which an election to be a REIT has been made). In order to facilitate compliance with the REIT rules, our Charter includes provisions that implement REIT-related ownership limitations and transfer restrictions that generally prohibit any person (as defined in our Charter) from beneficially or constructively owning, or being deemed to beneficially or constructively own by virtue of the attribution provisions of the Code, more than 9.8%, by value or number of shares, whichever is more restrictive, of the outstanding shares of our common stock, or 9.8% in aggregate value of the outstanding shares of all classes and series of our capital stock, including our common stock and any shares of our Convertible Preferred Stock. In addition, our Charter provides for certain other ownership limitations and transfer restrictions. Under applicable constructive ownership rules, any shares of capital stock owned by certain affiliated owners generally would be added together for purposes of the ownership limitations. These ownership limitations and transfer restrictions could have the effect of delaying, deferring or preventing a transaction or a change in control of our company that might involve a premium price for our capital stock or otherwise might be in the best interest of our stockholders.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and Certifications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an internet website at www.crowncastle.com. Our annual reports on Form 10-K, quarterly reports on Form 10-Q, and current reports on Form 8-K (and any amendments to those reports filed or furnished pursuant to Section 13(a) or 15(d) of the Securities Exchange Act of 1934) are made available, free of charge, through the investor relations section of our internet website at http://investor.crowncastle.com and at the SEC's website at http://sec.gov as soon as reasonably practicable after we electronically file such material with, or furnish it to, the SEC. You may also read or copy any document we file with the SEC at the SEC's public reference room at 100 F Street, N.E., Washington, D.C. 20549. Please call the SEC at 1-800-SEC-0330 for further information on the public reference room.</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our corporate governance guidelines, business practices, and ethics policy and the charters of our Audit Committee, Compensation Committee and Nominating &amp; Corporate Governance Committee are available through the investor relations section of our internet website at http://www.crowncastle.com/investor/corporateGovernance.aspx, and such information is also available in print to any stockholder who requests it.</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submitted the Chief Executive Officer certification required by Section 303A.12(a) of the New York Stock Exchange ("NYSE") Listed Company Manual, relating to compliance with the NYSE's corporate governance listing standards, to the NYSE on June 8, 2015 with no qualifications. We have included the certifications of our Chief Executive Officer and Chief Financial Officer required by Section 302 of the Sarbanes-Oxley Act of 2002 and related rules as Exhibits 31.1 and 31.2 to this Annual Report on Form 10-K.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7" w:right="239" w:bottom="1440" w:gutter="0" w:footer="0" w:header="0"/>
        </w:sectPr>
      </w:pPr>
    </w:p>
    <w:bookmarkStart w:id="19" w:name="page20"/>
    <w:bookmarkEnd w:id="19"/>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Offices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principal corporate headquarters is owned and located in Houston, Texas. In addition, we have offices throughout the U.S. in locations convenient for the management and operation of our wireless infrastructure with significant consideration being given to the amount of our wireless infrastructure located in a particular area.</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Wireless Infrastructure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own, lease or manage approximately 40,000 towers geographically dispersed throughout the U.S. Towers are vertical metal structures generally ranging in height from 50 to 300 feet. In addition, our customers' wireless equipment may also be placed on building rooftops and other structures. Our towers are located on tracts of land with an average size of approximately 15,000 square feet. These tracts of land support the towers, equipment shelters, and where applicable, guy-wires to stabilize the structure.</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Additionally, we own approximately 16,000 miles of fiber supporting our small cells designed to facilitate wireless connectivity. The majority of our fiber are located in major metropolitan areas. Our small cells are typically located in areas in which zoning restrictions or other barriers may prevent or delay the deployment of a tower and often are attached to public right-of-way infrastructure, including utility poles or street lights.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 Business—Overview"</w:t>
      </w:r>
      <w:r>
        <w:rPr>
          <w:rFonts w:ascii="Arial" w:cs="Arial" w:eastAsia="Arial" w:hAnsi="Arial"/>
          <w:sz w:val="18"/>
          <w:szCs w:val="18"/>
          <w:color w:val="auto"/>
        </w:rPr>
        <w:t xml:space="preserve"> for information regarding our wireless infrastructure portfolio including our land interests and for a discussion of the location of our towers, including the percentage of our towers in the top 50 and 100 BTAs. See </w:t>
      </w:r>
      <w:r>
        <w:rPr>
          <w:rFonts w:ascii="Arial" w:cs="Arial" w:eastAsia="Arial" w:hAnsi="Arial"/>
          <w:sz w:val="18"/>
          <w:szCs w:val="18"/>
          <w:i w:val="1"/>
          <w:iCs w:val="1"/>
          <w:color w:val="auto"/>
        </w:rPr>
        <w:t>"Item 7. MD&amp;A—Liquidity and Capital Resources—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Contractual Cash Obligations" </w:t>
      </w:r>
      <w:r>
        <w:rPr>
          <w:rFonts w:ascii="Arial" w:cs="Arial" w:eastAsia="Arial" w:hAnsi="Arial"/>
          <w:sz w:val="18"/>
          <w:szCs w:val="18"/>
          <w:color w:val="auto"/>
        </w:rPr>
        <w:t>for a tabular presentation of the remaining terms to final expiration of the leases for the land interests which we do not own</w:t>
      </w:r>
      <w:r>
        <w:rPr>
          <w:rFonts w:ascii="Arial" w:cs="Arial" w:eastAsia="Arial" w:hAnsi="Arial"/>
          <w:sz w:val="18"/>
          <w:szCs w:val="18"/>
          <w:i w:val="1"/>
          <w:iCs w:val="1"/>
          <w:color w:val="auto"/>
        </w:rPr>
        <w:t xml:space="preserve"> </w:t>
      </w:r>
      <w:r>
        <w:rPr>
          <w:rFonts w:ascii="Arial" w:cs="Arial" w:eastAsia="Arial" w:hAnsi="Arial"/>
          <w:sz w:val="18"/>
          <w:szCs w:val="18"/>
          <w:color w:val="auto"/>
        </w:rPr>
        <w:t>and on which our towers are located as of December 31, 2015.</w:t>
      </w:r>
    </w:p>
    <w:p>
      <w:pPr>
        <w:spacing w:after="0" w:line="13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As of February 15, 2016, approximately 48% of our debt is secured. Certain of our wireless infrastructure is held in subsidiaries whose equity interests have been pledged, directly or indirectly, along with other collateral to secure such indebtedness. See note 8 to our consolidated financial statements.</w:t>
      </w:r>
    </w:p>
    <w:p>
      <w:pPr>
        <w:spacing w:after="0" w:line="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Approximately 54% of our towers are leased or subleased or operated and managed under master leases, subleases, or other agreements with AT&amp;T, Sprint, and T-Mobile. We have the option to purchase these towers at the end of their respective lease terms. We have no obligation to exercise such purchase options. See note 1 to our consolidated financial statements and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for a further discussion.</w:t>
      </w:r>
    </w:p>
    <w:p>
      <w:pPr>
        <w:spacing w:after="0" w:line="11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Substantially all of our wireless infrastructure can accommodate additional tenancy either as currently constructed or with appropriate modifications to the structure (which may include extensions or structural reinforcement). Additionally, if so inclined as a result of a customer request for a tenant addition, we could generally replace an existing tower with another tower in its place providing additional capacity, subject to certain restrictions.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20" w:name="page21"/>
    <w:bookmarkEnd w:id="20"/>
    <w:p>
      <w:pPr>
        <w:jc w:val="both"/>
        <w:ind w:firstLine="405"/>
        <w:spacing w:after="0" w:line="259" w:lineRule="auto"/>
        <w:rPr>
          <w:sz w:val="20"/>
          <w:szCs w:val="20"/>
          <w:color w:val="auto"/>
        </w:rPr>
      </w:pPr>
      <w:r>
        <w:rPr>
          <w:rFonts w:ascii="Arial" w:cs="Arial" w:eastAsia="Arial" w:hAnsi="Arial"/>
          <w:sz w:val="18"/>
          <w:szCs w:val="18"/>
          <w:color w:val="auto"/>
        </w:rPr>
        <w:t xml:space="preserve">As of December 31, 2015, the average number of tenants (defined as a unique license or any related amendments thereto for count purposes) per tower is approximately 2.2 on our towers. The following chart sets forth the number of existing tenants per tower as of December 31, 2015 (see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and Reporting Matters—Critical Accounting Policies and Estimates" </w:t>
      </w:r>
      <w:r>
        <w:rPr>
          <w:rFonts w:ascii="Arial" w:cs="Arial" w:eastAsia="Arial" w:hAnsi="Arial"/>
          <w:sz w:val="18"/>
          <w:szCs w:val="18"/>
          <w:color w:val="auto"/>
        </w:rPr>
        <w:t>for a discussion of our impairment evaluation and our towers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230505</wp:posOffset>
            </wp:positionV>
            <wp:extent cx="3953510" cy="2246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periodically involved in legal proceedings that arise in the ordinary course of business. Most of these proceedings arising in the ordinary course of business involve disputes with landlords, vendors, collection matters involving bankrupt customers, zoning or variance matters, condemnation, tax, employment, or wrongful termination matters. While the outcome of these matters cannot be predicted with certainty, management does not expect any pending matters to have a material adverse effect on us.</w:t>
      </w:r>
    </w:p>
    <w:p>
      <w:pPr>
        <w:spacing w:after="0" w:line="34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common stock is listed and traded on the NYSE under the symbol "CCI." The following table sets forth for the calendar periods indicated the high and low sales prices per share of our common stock as reported by the NYSE.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High </w:t>
            </w:r>
            <w:r>
              <w:rPr>
                <w:rFonts w:ascii="Arial" w:cs="Arial" w:eastAsia="Arial" w:hAnsi="Arial"/>
                <w:sz w:val="8"/>
                <w:szCs w:val="8"/>
                <w:b w:val="1"/>
                <w:bCs w:val="1"/>
                <w:color w:val="auto"/>
              </w:rPr>
              <w:t>(a)</w:t>
            </w:r>
          </w:p>
        </w:tc>
        <w:tc>
          <w:tcPr>
            <w:tcW w:w="300" w:type="dxa"/>
            <w:vAlign w:val="bottom"/>
          </w:tcPr>
          <w:p>
            <w:pPr>
              <w:spacing w:after="0"/>
              <w:rPr>
                <w:sz w:val="16"/>
                <w:szCs w:val="16"/>
                <w:color w:val="auto"/>
              </w:rPr>
            </w:pPr>
          </w:p>
        </w:tc>
        <w:tc>
          <w:tcPr>
            <w:tcW w:w="1040" w:type="dxa"/>
            <w:vAlign w:val="bottom"/>
          </w:tcPr>
          <w:p>
            <w:pPr>
              <w:jc w:val="right"/>
              <w:ind w:right="380"/>
              <w:spacing w:after="0"/>
              <w:rPr>
                <w:sz w:val="20"/>
                <w:szCs w:val="20"/>
                <w:color w:val="auto"/>
              </w:rPr>
            </w:pPr>
            <w:r>
              <w:rPr>
                <w:rFonts w:ascii="Arial" w:cs="Arial" w:eastAsia="Arial" w:hAnsi="Arial"/>
                <w:sz w:val="14"/>
                <w:szCs w:val="14"/>
                <w:b w:val="1"/>
                <w:bCs w:val="1"/>
                <w:color w:val="auto"/>
              </w:rPr>
              <w:t xml:space="preserve">Low </w:t>
            </w:r>
            <w:r>
              <w:rPr>
                <w:rFonts w:ascii="Arial" w:cs="Arial" w:eastAsia="Arial" w:hAnsi="Arial"/>
                <w:sz w:val="8"/>
                <w:szCs w:val="8"/>
                <w:b w:val="1"/>
                <w:bCs w:val="1"/>
                <w:color w:val="auto"/>
              </w:rPr>
              <w:t>(a)</w:t>
            </w:r>
          </w:p>
        </w:tc>
      </w:tr>
      <w:tr>
        <w:trPr>
          <w:trHeight w:val="210"/>
        </w:trPr>
        <w:tc>
          <w:tcPr>
            <w:tcW w:w="8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60"/>
        </w:trPr>
        <w:tc>
          <w:tcPr>
            <w:tcW w:w="8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500" w:type="dxa"/>
            <w:vAlign w:val="bottom"/>
          </w:tcPr>
          <w:p>
            <w:pPr>
              <w:ind w:left="500"/>
              <w:spacing w:after="0"/>
              <w:rPr>
                <w:sz w:val="20"/>
                <w:szCs w:val="20"/>
                <w:color w:val="auto"/>
              </w:rPr>
            </w:pPr>
            <w:r>
              <w:rPr>
                <w:rFonts w:ascii="Arial" w:cs="Arial" w:eastAsia="Arial" w:hAnsi="Arial"/>
                <w:sz w:val="16"/>
                <w:szCs w:val="16"/>
                <w:color w:val="auto"/>
              </w:rPr>
              <w:t>First Quarter</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89.44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78.57</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Second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80.11</w:t>
            </w:r>
          </w:p>
        </w:tc>
      </w:tr>
      <w:tr>
        <w:trPr>
          <w:trHeight w:val="237"/>
        </w:trPr>
        <w:tc>
          <w:tcPr>
            <w:tcW w:w="8500" w:type="dxa"/>
            <w:vAlign w:val="bottom"/>
          </w:tcPr>
          <w:p>
            <w:pPr>
              <w:ind w:left="500"/>
              <w:spacing w:after="0"/>
              <w:rPr>
                <w:sz w:val="20"/>
                <w:szCs w:val="20"/>
                <w:color w:val="auto"/>
              </w:rPr>
            </w:pPr>
            <w:r>
              <w:rPr>
                <w:rFonts w:ascii="Arial" w:cs="Arial" w:eastAsia="Arial" w:hAnsi="Arial"/>
                <w:sz w:val="16"/>
                <w:szCs w:val="16"/>
                <w:color w:val="auto"/>
              </w:rPr>
              <w:t>Third Quarter</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86.56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75.78</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Fourth Quarter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78.28</w:t>
            </w:r>
          </w:p>
        </w:tc>
      </w:tr>
      <w:tr>
        <w:trPr>
          <w:trHeight w:val="204"/>
        </w:trPr>
        <w:tc>
          <w:tcPr>
            <w:tcW w:w="8500" w:type="dxa"/>
            <w:vAlign w:val="bottom"/>
          </w:tcPr>
          <w:p>
            <w:pPr>
              <w:ind w:left="40"/>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8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First Quarter</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68.44</w:t>
            </w:r>
          </w:p>
        </w:tc>
      </w:tr>
      <w:tr>
        <w:trPr>
          <w:trHeight w:val="237"/>
        </w:trPr>
        <w:tc>
          <w:tcPr>
            <w:tcW w:w="8500" w:type="dxa"/>
            <w:vAlign w:val="bottom"/>
          </w:tcPr>
          <w:p>
            <w:pPr>
              <w:ind w:left="500"/>
              <w:spacing w:after="0"/>
              <w:rPr>
                <w:sz w:val="20"/>
                <w:szCs w:val="20"/>
                <w:color w:val="auto"/>
              </w:rPr>
            </w:pPr>
            <w:r>
              <w:rPr>
                <w:rFonts w:ascii="Arial" w:cs="Arial" w:eastAsia="Arial" w:hAnsi="Arial"/>
                <w:sz w:val="16"/>
                <w:szCs w:val="16"/>
                <w:color w:val="auto"/>
              </w:rPr>
              <w:t>Second Quarter</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77.95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71.29</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Third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72.53</w:t>
            </w:r>
          </w:p>
        </w:tc>
      </w:tr>
      <w:tr>
        <w:trPr>
          <w:trHeight w:val="237"/>
        </w:trPr>
        <w:tc>
          <w:tcPr>
            <w:tcW w:w="8500" w:type="dxa"/>
            <w:vAlign w:val="bottom"/>
          </w:tcPr>
          <w:p>
            <w:pPr>
              <w:ind w:left="500"/>
              <w:spacing w:after="0"/>
              <w:rPr>
                <w:sz w:val="20"/>
                <w:szCs w:val="20"/>
                <w:color w:val="auto"/>
              </w:rPr>
            </w:pPr>
            <w:r>
              <w:rPr>
                <w:rFonts w:ascii="Arial" w:cs="Arial" w:eastAsia="Arial" w:hAnsi="Arial"/>
                <w:sz w:val="16"/>
                <w:szCs w:val="16"/>
                <w:color w:val="auto"/>
              </w:rPr>
              <w:t>Fourth Quarter</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84.97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74.45</w:t>
            </w:r>
          </w:p>
        </w:tc>
      </w:tr>
      <w:tr>
        <w:trPr>
          <w:trHeight w:val="33"/>
        </w:trPr>
        <w:tc>
          <w:tcPr>
            <w:tcW w:w="8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Prices per share reflect the high and low sale prices per share, unadjusted for common stock dividends declared and paid. See notes 12 and 19 to our consolidated financial statements.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15, 2016, there were approximately 790 holders of record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Effective January 1, 2014, we commenced operating as a REIT for U.S. federal income tax purposes. To remain qualified and be taxed as a REIT, we will generally be required to distribute at least 90% of our REIT taxable income after the utilization of any available NOLs, (determined without regard to the dividends paid deduction and excluding net capital gain) each year to our stockholders. </w:t>
      </w:r>
      <w:r>
        <w:rPr>
          <w:rFonts w:ascii="Arial" w:cs="Arial" w:eastAsia="Arial" w:hAnsi="Arial"/>
          <w:sz w:val="18"/>
          <w:szCs w:val="18"/>
          <w:color w:val="000000"/>
        </w:rPr>
        <w:t>See also</w:t>
      </w:r>
      <w:r>
        <w:rPr>
          <w:rFonts w:ascii="Arial" w:cs="Arial" w:eastAsia="Arial" w:hAnsi="Arial"/>
          <w:sz w:val="18"/>
          <w:szCs w:val="18"/>
          <w:color w:val="231F20"/>
        </w:rPr>
        <w:t xml:space="preserve"> </w:t>
      </w:r>
      <w:r>
        <w:rPr>
          <w:rFonts w:ascii="Arial" w:cs="Arial" w:eastAsia="Arial" w:hAnsi="Arial"/>
          <w:sz w:val="18"/>
          <w:szCs w:val="18"/>
          <w:i w:val="1"/>
          <w:iCs w:val="1"/>
          <w:color w:val="000000"/>
        </w:rPr>
        <w:t>"Item 7. MD&amp;A—General Overview—Common Stock</w:t>
      </w:r>
      <w:r>
        <w:rPr>
          <w:rFonts w:ascii="Arial" w:cs="Arial" w:eastAsia="Arial" w:hAnsi="Arial"/>
          <w:sz w:val="18"/>
          <w:szCs w:val="18"/>
          <w:color w:val="231F20"/>
        </w:rPr>
        <w:t xml:space="preserve"> </w:t>
      </w:r>
      <w:r>
        <w:rPr>
          <w:rFonts w:ascii="Arial" w:cs="Arial" w:eastAsia="Arial" w:hAnsi="Arial"/>
          <w:sz w:val="18"/>
          <w:szCs w:val="18"/>
          <w:i w:val="1"/>
          <w:iCs w:val="1"/>
          <w:color w:val="000000"/>
        </w:rPr>
        <w:t xml:space="preserve">Dividend," "Item 1. Business—2015 Industry Highlights and Company Developments—REIT Election," </w:t>
      </w:r>
      <w:r>
        <w:rPr>
          <w:rFonts w:ascii="Arial" w:cs="Arial" w:eastAsia="Arial" w:hAnsi="Arial"/>
          <w:sz w:val="18"/>
          <w:szCs w:val="18"/>
          <w:color w:val="000000"/>
        </w:rPr>
        <w:t>and notes 11 and 12 to our consolidated financial</w:t>
      </w:r>
      <w:r>
        <w:rPr>
          <w:rFonts w:ascii="Arial" w:cs="Arial" w:eastAsia="Arial" w:hAnsi="Arial"/>
          <w:sz w:val="18"/>
          <w:szCs w:val="18"/>
          <w:i w:val="1"/>
          <w:iCs w:val="1"/>
          <w:color w:val="000000"/>
        </w:rPr>
        <w:t xml:space="preserve"> </w:t>
      </w:r>
      <w:r>
        <w:rPr>
          <w:rFonts w:ascii="Arial" w:cs="Arial" w:eastAsia="Arial" w:hAnsi="Arial"/>
          <w:sz w:val="18"/>
          <w:szCs w:val="18"/>
          <w:color w:val="000000"/>
        </w:rPr>
        <w:t>statements.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first quarter of 2014, we commenced paying a quarterly cash dividend on our common stock. In October 2014, we increased our quarterly cash dividend, beginning in the fourth quarter of 2014, from an annual amount of $1.40 to $3.28 per share. As such, we paid a quarterly cash dividend of $0.82 per share in the fourth quarter of 2014, which represented an increase of $0.47 per share from the $0.35 per share quarterly dividend declared during each of the first three quarters of 2014.</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each of the first three quarters of 2015, we paid a quarterly common stock dividend of $0.82 per share, totaling approximately $821.1 million. In October 2015, we increased our quarterly dividend, beginning in the fourth quarter of 2015, from an annual amount of $3.28 per share to an annual amount of $3.54 per share. As such, we declared a quarterly dividend of $0.885 per share in October 2015, which represented an increase of 8% from the quarterly dividend declared during each of the first three quarters of 2015. We currently expect such dividends to result in aggregate cash payments of approximately $1.2 billion during the next 12 months. Over time, we expect to increase our dividend per share generally commensurate with our realized growth in cash flows.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declaration amount and payment of any future dividends, however, are subject to the determination and approval of our board of directors based on then-current or anticipated future conditions, including our earnings, net cash provided by operating activities, capital requirements, financial condition, our relative market capitalization, our existing NOLs, or other factors deemed relevant by our board of directors. </w:t>
      </w:r>
      <w:r>
        <w:rPr>
          <w:rFonts w:ascii="Arial" w:cs="Arial" w:eastAsia="Arial" w:hAnsi="Arial"/>
          <w:sz w:val="18"/>
          <w:szCs w:val="18"/>
          <w:color w:val="000000"/>
        </w:rPr>
        <w:t>In addition, our ability to pay dividends is</w:t>
      </w:r>
      <w:r>
        <w:rPr>
          <w:rFonts w:ascii="Arial" w:cs="Arial" w:eastAsia="Arial" w:hAnsi="Arial"/>
          <w:sz w:val="18"/>
          <w:szCs w:val="18"/>
          <w:color w:val="231F20"/>
        </w:rPr>
        <w:t xml:space="preserve"> </w:t>
      </w:r>
      <w:r>
        <w:rPr>
          <w:rFonts w:ascii="Arial" w:cs="Arial" w:eastAsia="Arial" w:hAnsi="Arial"/>
          <w:sz w:val="18"/>
          <w:szCs w:val="18"/>
          <w:color w:val="000000"/>
        </w:rPr>
        <w:t>limited by the terms of our debt instruments under certain circumstances.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with respect to purchase of our equity securities during the fourth quarter of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of Shares that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Total Number of Shares</w:t>
            </w:r>
          </w:p>
        </w:tc>
        <w:tc>
          <w:tcPr>
            <w:tcW w:w="18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 October 31, 2015</w:t>
            </w: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November 1 - November 30, 2015</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85.74</w:t>
            </w:r>
          </w:p>
        </w:tc>
        <w:tc>
          <w:tcPr>
            <w:tcW w:w="220" w:type="dxa"/>
            <w:vAlign w:val="bottom"/>
          </w:tcPr>
          <w:p>
            <w:pPr>
              <w:spacing w:after="0"/>
              <w:rPr>
                <w:sz w:val="20"/>
                <w:szCs w:val="20"/>
                <w:color w:val="auto"/>
              </w:rPr>
            </w:pPr>
          </w:p>
        </w:tc>
        <w:tc>
          <w:tcPr>
            <w:tcW w:w="180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1580" w:type="dxa"/>
            <w:vAlign w:val="bottom"/>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 December 31, 2015</w:t>
            </w: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360" w:type="dxa"/>
            <w:vAlign w:val="bottom"/>
            <w:gridSpan w:val="2"/>
          </w:tcPr>
          <w:p>
            <w:pPr>
              <w:ind w:left="50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85.74</w:t>
            </w:r>
          </w:p>
        </w:tc>
        <w:tc>
          <w:tcPr>
            <w:tcW w:w="220" w:type="dxa"/>
            <w:vAlign w:val="bottom"/>
          </w:tcPr>
          <w:p>
            <w:pPr>
              <w:spacing w:after="0"/>
              <w:rPr>
                <w:sz w:val="21"/>
                <w:szCs w:val="21"/>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paid $0.1 million in cash to effect these purchases. The shares purchased relate to shares withheld in connection with the payment of withholding taxes upon vesting of restricted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Certain information with respect to our equity compensation plans is set forth in </w:t>
      </w:r>
      <w:r>
        <w:rPr>
          <w:rFonts w:ascii="Arial" w:cs="Arial" w:eastAsia="Arial" w:hAnsi="Arial"/>
          <w:sz w:val="18"/>
          <w:szCs w:val="18"/>
          <w:i w:val="1"/>
          <w:iCs w:val="1"/>
          <w:color w:val="auto"/>
        </w:rPr>
        <w:t>"Item 12. 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herein.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following performance graph is a comparison of the five year cumulative stockholder return on our common stock against the cumulative total return of the S&amp;P 500 Market Index, the Dow Jones U.S. Telecommunications Equipment Index and the FTSE NAREIT All Equity REITs Index for the period commencing December 31, 2010 and ending December 31, 2015. The performance graph assumes an initial investment of $100.0 in our common stock and in each of the indices. The performance graph and related text are based 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-29210</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gridSpan w:val="2"/>
            <w:shd w:val="clear" w:color="auto" w:fill="CCEEFF"/>
          </w:tcPr>
          <w:p>
            <w:pPr>
              <w:jc w:val="right"/>
              <w:ind w:right="501"/>
              <w:spacing w:after="0"/>
              <w:rPr>
                <w:sz w:val="20"/>
                <w:szCs w:val="20"/>
                <w:color w:val="auto"/>
              </w:rPr>
            </w:pPr>
            <w:r>
              <w:rPr>
                <w:rFonts w:ascii="Arial" w:cs="Arial" w:eastAsia="Arial" w:hAnsi="Arial"/>
                <w:sz w:val="14"/>
                <w:szCs w:val="14"/>
                <w:b w:val="1"/>
                <w:bCs w:val="1"/>
                <w:color w:val="auto"/>
              </w:rPr>
              <w:t>Years Ended December 31,</w:t>
            </w:r>
          </w:p>
        </w:tc>
        <w:tc>
          <w:tcPr>
            <w:tcW w:w="1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Company/Index/Market</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2010</w:t>
            </w: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2011</w:t>
            </w:r>
          </w:p>
        </w:tc>
        <w:tc>
          <w:tcPr>
            <w:tcW w:w="12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Crown Castle International Corp.</w:t>
            </w:r>
          </w:p>
        </w:tc>
        <w:tc>
          <w:tcPr>
            <w:tcW w:w="13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100.00</w:t>
            </w:r>
          </w:p>
        </w:tc>
        <w:tc>
          <w:tcPr>
            <w:tcW w:w="12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102.21</w:t>
            </w:r>
          </w:p>
        </w:tc>
        <w:tc>
          <w:tcPr>
            <w:tcW w:w="128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164.64</w:t>
            </w:r>
          </w:p>
        </w:tc>
        <w:tc>
          <w:tcPr>
            <w:tcW w:w="12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167.53</w:t>
            </w:r>
          </w:p>
        </w:tc>
        <w:tc>
          <w:tcPr>
            <w:tcW w:w="12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184.04</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210.42</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S&amp;P 500 Market Index</w:t>
            </w:r>
          </w:p>
        </w:tc>
        <w:tc>
          <w:tcPr>
            <w:tcW w:w="1380" w:type="dxa"/>
            <w:vAlign w:val="bottom"/>
          </w:tcPr>
          <w:p>
            <w:pPr>
              <w:jc w:val="right"/>
              <w:ind w:right="261"/>
              <w:spacing w:after="0"/>
              <w:rPr>
                <w:sz w:val="20"/>
                <w:szCs w:val="20"/>
                <w:color w:val="auto"/>
              </w:rPr>
            </w:pPr>
            <w:r>
              <w:rPr>
                <w:rFonts w:ascii="Arial" w:cs="Arial" w:eastAsia="Arial" w:hAnsi="Arial"/>
                <w:sz w:val="16"/>
                <w:szCs w:val="16"/>
                <w:color w:val="auto"/>
              </w:rPr>
              <w:t>100.00</w:t>
            </w:r>
          </w:p>
        </w:tc>
        <w:tc>
          <w:tcPr>
            <w:tcW w:w="1220" w:type="dxa"/>
            <w:vAlign w:val="bottom"/>
          </w:tcPr>
          <w:p>
            <w:pPr>
              <w:jc w:val="right"/>
              <w:ind w:right="201"/>
              <w:spacing w:after="0"/>
              <w:rPr>
                <w:sz w:val="20"/>
                <w:szCs w:val="20"/>
                <w:color w:val="auto"/>
              </w:rPr>
            </w:pPr>
            <w:r>
              <w:rPr>
                <w:rFonts w:ascii="Arial" w:cs="Arial" w:eastAsia="Arial" w:hAnsi="Arial"/>
                <w:sz w:val="16"/>
                <w:szCs w:val="16"/>
                <w:color w:val="auto"/>
              </w:rPr>
              <w:t>102.11</w:t>
            </w: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118.45</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156.82</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178.28</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180.75</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DJ US Telecommunications Equipment Index</w:t>
            </w:r>
          </w:p>
        </w:tc>
        <w:tc>
          <w:tcPr>
            <w:tcW w:w="13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100.00</w:t>
            </w:r>
          </w:p>
        </w:tc>
        <w:tc>
          <w:tcPr>
            <w:tcW w:w="12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92.10</w:t>
            </w:r>
          </w:p>
        </w:tc>
        <w:tc>
          <w:tcPr>
            <w:tcW w:w="128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101.08</w:t>
            </w:r>
          </w:p>
        </w:tc>
        <w:tc>
          <w:tcPr>
            <w:tcW w:w="12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122.75</w:t>
            </w:r>
          </w:p>
        </w:tc>
        <w:tc>
          <w:tcPr>
            <w:tcW w:w="12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141.42</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126.14</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FTSE NAREIT All Equity REITs Index</w:t>
            </w:r>
          </w:p>
        </w:tc>
        <w:tc>
          <w:tcPr>
            <w:tcW w:w="1380" w:type="dxa"/>
            <w:vAlign w:val="bottom"/>
          </w:tcPr>
          <w:p>
            <w:pPr>
              <w:jc w:val="right"/>
              <w:ind w:right="261"/>
              <w:spacing w:after="0"/>
              <w:rPr>
                <w:sz w:val="20"/>
                <w:szCs w:val="20"/>
                <w:color w:val="auto"/>
              </w:rPr>
            </w:pPr>
            <w:r>
              <w:rPr>
                <w:rFonts w:ascii="Arial" w:cs="Arial" w:eastAsia="Arial" w:hAnsi="Arial"/>
                <w:sz w:val="16"/>
                <w:szCs w:val="16"/>
                <w:color w:val="auto"/>
              </w:rPr>
              <w:t>100.00</w:t>
            </w:r>
          </w:p>
        </w:tc>
        <w:tc>
          <w:tcPr>
            <w:tcW w:w="1220" w:type="dxa"/>
            <w:vAlign w:val="bottom"/>
          </w:tcPr>
          <w:p>
            <w:pPr>
              <w:jc w:val="right"/>
              <w:ind w:right="201"/>
              <w:spacing w:after="0"/>
              <w:rPr>
                <w:sz w:val="20"/>
                <w:szCs w:val="20"/>
                <w:color w:val="auto"/>
              </w:rPr>
            </w:pPr>
            <w:r>
              <w:rPr>
                <w:rFonts w:ascii="Arial" w:cs="Arial" w:eastAsia="Arial" w:hAnsi="Arial"/>
                <w:sz w:val="16"/>
                <w:szCs w:val="16"/>
                <w:color w:val="auto"/>
              </w:rPr>
              <w:t>108.29</w:t>
            </w: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129.73</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133.44</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170.83</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177.18</w:t>
            </w:r>
          </w:p>
        </w:tc>
      </w:tr>
    </w:tbl>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performance graph above and related text are being furnished solely to accompany this annual report on Form 10-K pursuant to Item 201(e) of Regulation S-K, and are not being filed for purposes of Section 18 of the Securities Exchange Act of 1934, as amended, and are not to be incorporated by reference into any filing of ours, whether made before or after the date hereof, regardless of any general incorporation language in such filing.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4" w:name="page25"/>
    <w:bookmarkEnd w:id="24"/>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Our selected historical consolidated financial and other data set forth below for each of the five years in the period ended December 31, 2015, and as of December 31, 2015, 2014, 2013, 2012 and 2011 have been derived from our consolidated financial statements. The information set forth below should be read in conjunction with </w:t>
      </w:r>
      <w:r>
        <w:rPr>
          <w:rFonts w:ascii="Arial" w:cs="Arial" w:eastAsia="Arial" w:hAnsi="Arial"/>
          <w:sz w:val="17"/>
          <w:szCs w:val="17"/>
          <w:i w:val="1"/>
          <w:iCs w:val="1"/>
          <w:color w:val="auto"/>
        </w:rPr>
        <w:t>"Item 1. Business," "Item 7. MD&amp;A"</w:t>
      </w:r>
      <w:r>
        <w:rPr>
          <w:rFonts w:ascii="Arial" w:cs="Arial" w:eastAsia="Arial" w:hAnsi="Arial"/>
          <w:sz w:val="17"/>
          <w:szCs w:val="17"/>
          <w:color w:val="auto"/>
        </w:rPr>
        <w:t xml:space="preserve"> and our consolidated financial statements. CCAL is presented on a discontinued operations basis for all periods presented. See note 3 to our consolidated financial statements regarding our sale of CCAL in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Statement of Operations Data: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revenues: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Site rental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Network services and other</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Costs of operations</w:t>
      </w:r>
      <w:r>
        <w:rPr>
          <w:rFonts w:ascii="Arial" w:cs="Arial" w:eastAsia="Arial" w:hAnsi="Arial"/>
          <w:sz w:val="8"/>
          <w:szCs w:val="8"/>
          <w:color w:val="auto"/>
        </w:rPr>
        <w:t>(b)</w:t>
      </w:r>
      <w:r>
        <w:rPr>
          <w:rFonts w:ascii="Arial" w:cs="Arial" w:eastAsia="Arial" w:hAnsi="Arial"/>
          <w:sz w:val="14"/>
          <w:szCs w:val="14"/>
          <w:color w:val="auto"/>
        </w:rPr>
        <w: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Site rental</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Network services and other</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costs of operations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Asset write-down charges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Acquisition and integration costs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Depreciation, amortization and accretion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 and amortization of deferred financing costs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Gains (losses) on retirement of long-term obligations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continuing operations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Benefit (provision) for income taxes</w:t>
      </w:r>
      <w:r>
        <w:rPr>
          <w:rFonts w:ascii="Arial" w:cs="Arial" w:eastAsia="Arial" w:hAnsi="Arial"/>
          <w:sz w:val="8"/>
          <w:szCs w:val="8"/>
          <w:color w:val="auto"/>
        </w:rPr>
        <w:t>(c)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Discontinued operations: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(loss) from discontinued operations, net of tax</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Net gain (loss) from disposal of discontinued operations, net of tax</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(loss) from discontinued operations,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Less: Net income (loss) attributable to the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CCIC stockholders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on preferred stock and losses on purchases of preferred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CCIC common stockholders</w:t>
      </w:r>
    </w:p>
    <w:p>
      <w:pPr>
        <w:spacing w:after="0" w:line="109" w:lineRule="exact"/>
        <w:rPr>
          <w:sz w:val="20"/>
          <w:szCs w:val="20"/>
          <w:color w:val="auto"/>
        </w:rPr>
      </w:pPr>
    </w:p>
    <w:p>
      <w:pPr>
        <w:ind w:left="200" w:right="160" w:hanging="161"/>
        <w:spacing w:after="0" w:line="253" w:lineRule="auto"/>
        <w:rPr>
          <w:sz w:val="20"/>
          <w:szCs w:val="20"/>
          <w:color w:val="auto"/>
        </w:rPr>
      </w:pPr>
      <w:r>
        <w:rPr>
          <w:rFonts w:ascii="Arial" w:cs="Arial" w:eastAsia="Arial" w:hAnsi="Arial"/>
          <w:sz w:val="14"/>
          <w:szCs w:val="14"/>
          <w:color w:val="auto"/>
        </w:rPr>
        <w:t xml:space="preserve">Income (loss) from continuing operations attributable to CCIC common stockholders, per common share - basic </w:t>
      </w:r>
      <w:r>
        <w:rPr>
          <w:rFonts w:ascii="Arial" w:cs="Arial" w:eastAsia="Arial" w:hAnsi="Arial"/>
          <w:sz w:val="8"/>
          <w:szCs w:val="8"/>
          <w:color w:val="auto"/>
        </w:rPr>
        <w:t>(d)</w:t>
      </w:r>
    </w:p>
    <w:p>
      <w:pPr>
        <w:spacing w:after="0" w:line="12" w:lineRule="exact"/>
        <w:rPr>
          <w:sz w:val="20"/>
          <w:szCs w:val="20"/>
          <w:color w:val="auto"/>
        </w:rPr>
      </w:pPr>
    </w:p>
    <w:p>
      <w:pPr>
        <w:ind w:left="200" w:right="160" w:hanging="161"/>
        <w:spacing w:after="0" w:line="253" w:lineRule="auto"/>
        <w:rPr>
          <w:sz w:val="20"/>
          <w:szCs w:val="20"/>
          <w:color w:val="auto"/>
        </w:rPr>
      </w:pPr>
      <w:r>
        <w:rPr>
          <w:rFonts w:ascii="Arial" w:cs="Arial" w:eastAsia="Arial" w:hAnsi="Arial"/>
          <w:sz w:val="14"/>
          <w:szCs w:val="14"/>
          <w:color w:val="auto"/>
        </w:rPr>
        <w:t xml:space="preserve">Income (loss) from continuing operations attributable to CCIC common stockholders, per common share - diluted </w:t>
      </w:r>
      <w:r>
        <w:rPr>
          <w:rFonts w:ascii="Arial" w:cs="Arial" w:eastAsia="Arial" w:hAnsi="Arial"/>
          <w:sz w:val="8"/>
          <w:szCs w:val="8"/>
          <w:color w:val="auto"/>
        </w:rPr>
        <w:t>(d)</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Weighted-average common shares outstanding (in thousands):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Basic </w:t>
      </w:r>
      <w:r>
        <w:rPr>
          <w:rFonts w:ascii="Arial" w:cs="Arial" w:eastAsia="Arial" w:hAnsi="Arial"/>
          <w:sz w:val="8"/>
          <w:szCs w:val="8"/>
          <w:color w:val="auto"/>
        </w:rPr>
        <w:t>(d)(f)</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Diluted </w:t>
      </w:r>
      <w:r>
        <w:rPr>
          <w:rFonts w:ascii="Arial" w:cs="Arial" w:eastAsia="Arial" w:hAnsi="Arial"/>
          <w:sz w:val="8"/>
          <w:szCs w:val="8"/>
          <w:color w:val="auto"/>
        </w:rPr>
        <w:t>(d)(f)</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Dividends/distributions declared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4202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2015</w:t>
            </w:r>
          </w:p>
        </w:tc>
        <w:tc>
          <w:tcPr>
            <w:tcW w:w="640" w:type="dxa"/>
            <w:vAlign w:val="bottom"/>
            <w:tcBorders>
              <w:bottom w:val="single" w:sz="8" w:color="auto"/>
            </w:tcBorders>
          </w:tcPr>
          <w:p>
            <w:pPr>
              <w:ind w:left="280"/>
              <w:spacing w:after="0"/>
              <w:rPr>
                <w:sz w:val="20"/>
                <w:szCs w:val="20"/>
                <w:color w:val="auto"/>
              </w:rPr>
            </w:pPr>
            <w:r>
              <w:rPr>
                <w:rFonts w:ascii="Arial" w:cs="Arial" w:eastAsia="Arial" w:hAnsi="Arial"/>
                <w:sz w:val="9"/>
                <w:szCs w:val="9"/>
                <w:b w:val="1"/>
                <w:bCs w:val="1"/>
                <w:color w:val="auto"/>
              </w:rPr>
              <w:t>(a)</w:t>
            </w: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2014</w:t>
            </w: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(a)</w:t>
            </w: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2013</w:t>
            </w: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(a)</w:t>
            </w:r>
          </w:p>
        </w:tc>
        <w:tc>
          <w:tcPr>
            <w:tcW w:w="106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2012</w:t>
            </w: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2011</w:t>
            </w:r>
          </w:p>
        </w:tc>
      </w:tr>
      <w:tr>
        <w:trPr>
          <w:trHeight w:val="173"/>
        </w:trPr>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0" w:type="dxa"/>
            <w:vAlign w:val="bottom"/>
            <w:gridSpan w:val="5"/>
          </w:tcPr>
          <w:p>
            <w:pPr>
              <w:jc w:val="right"/>
              <w:ind w:right="677"/>
              <w:spacing w:after="0"/>
              <w:rPr>
                <w:sz w:val="20"/>
                <w:szCs w:val="20"/>
                <w:color w:val="auto"/>
              </w:rPr>
            </w:pPr>
            <w:r>
              <w:rPr>
                <w:rFonts w:ascii="Arial" w:cs="Arial" w:eastAsia="Arial" w:hAnsi="Arial"/>
                <w:sz w:val="13"/>
                <w:szCs w:val="13"/>
                <w:b w:val="1"/>
                <w:bCs w:val="1"/>
                <w:color w:val="auto"/>
                <w:w w:val="94"/>
              </w:rPr>
              <w:t>(In thousands of dollars, except per share amounts)</w:t>
            </w:r>
          </w:p>
        </w:tc>
        <w:tc>
          <w:tcPr>
            <w:tcW w:w="1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10160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353060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3,018,413</w:t>
            </w:r>
          </w:p>
        </w:tc>
        <w:tc>
          <w:tcPr>
            <w:tcW w:w="36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2,866,613</w:t>
            </w:r>
          </w:p>
        </w:tc>
        <w:tc>
          <w:tcPr>
            <w:tcW w:w="3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2,371,380</w:t>
            </w:r>
          </w:p>
        </w:tc>
        <w:tc>
          <w:tcPr>
            <w:tcW w:w="3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2,001,049</w:t>
            </w:r>
          </w:p>
        </w:tc>
        <w:tc>
          <w:tcPr>
            <w:tcW w:w="3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1,744,993</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645,438</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672,143</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494,371</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285,287</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161,522</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3,663,851</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3,538,756</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2,865,751</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2,286,336</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1,906,515</w:t>
            </w:r>
          </w:p>
        </w:tc>
      </w:tr>
      <w:tr>
        <w:trPr>
          <w:trHeight w:val="798"/>
        </w:trPr>
        <w:tc>
          <w:tcPr>
            <w:tcW w:w="2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963,869</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906,152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686,873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503,661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446,868</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357,557</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400,454</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304,144</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173,762</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96,057</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1,321,426</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1,306,606</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991,017</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677,423</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542,925</w:t>
            </w:r>
          </w:p>
        </w:tc>
      </w:tr>
      <w:tr>
        <w:trPr>
          <w:trHeight w:val="244"/>
        </w:trPr>
        <w:tc>
          <w:tcPr>
            <w:tcW w:w="28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310,921</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257,296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213,519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184,911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151,737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33,468</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14,246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13,595</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15,226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21,986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15,678</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34,145</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25,574</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18,216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3,310</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1,036,178</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985,781</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741,342</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591,428</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522,681</w:t>
            </w:r>
          </w:p>
        </w:tc>
      </w:tr>
      <w:tr>
        <w:trPr>
          <w:trHeight w:val="244"/>
        </w:trPr>
        <w:tc>
          <w:tcPr>
            <w:tcW w:w="28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946,180</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940,682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880,704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799,132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663,876</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(527,128)</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(573,291)</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(589,630)</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(601,031)</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(507,264)</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(4,157)</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(44,629)</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(37,127)</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(131,974)</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1,906</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4,089</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187</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57,028</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11,993</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(3,902)</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(5,363)</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(5,603)</w:t>
            </w:r>
          </w:p>
        </w:tc>
      </w:tr>
      <w:tr>
        <w:trPr>
          <w:trHeight w:val="244"/>
        </w:trPr>
        <w:tc>
          <w:tcPr>
            <w:tcW w:w="28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473,829</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335,070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251,001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64,853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151,196</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51,457</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11,244</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(191,000)</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60,144</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(6,126)</w:t>
            </w:r>
          </w:p>
        </w:tc>
      </w:tr>
      <w:tr>
        <w:trPr>
          <w:trHeight w:val="244"/>
        </w:trPr>
        <w:tc>
          <w:tcPr>
            <w:tcW w:w="28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525,286</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346,314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60,001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124,997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145,070</w:t>
            </w:r>
          </w:p>
        </w:tc>
      </w:tr>
      <w:tr>
        <w:trPr>
          <w:trHeight w:val="540"/>
        </w:trPr>
        <w:tc>
          <w:tcPr>
            <w:tcW w:w="2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19,690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52,460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33,900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75,891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26,390</w:t>
            </w:r>
          </w:p>
        </w:tc>
      </w:tr>
      <w:tr>
        <w:trPr>
          <w:trHeight w:val="276"/>
        </w:trPr>
        <w:tc>
          <w:tcPr>
            <w:tcW w:w="2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979,359</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999,049</w:t>
            </w:r>
          </w:p>
        </w:tc>
        <w:tc>
          <w:tcPr>
            <w:tcW w:w="3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52,460</w:t>
            </w:r>
          </w:p>
        </w:tc>
        <w:tc>
          <w:tcPr>
            <w:tcW w:w="3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33,900</w:t>
            </w:r>
          </w:p>
        </w:tc>
        <w:tc>
          <w:tcPr>
            <w:tcW w:w="3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75,891</w:t>
            </w:r>
          </w:p>
        </w:tc>
        <w:tc>
          <w:tcPr>
            <w:tcW w:w="3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26,390</w:t>
            </w:r>
          </w:p>
        </w:tc>
      </w:tr>
      <w:tr>
        <w:trPr>
          <w:trHeight w:val="244"/>
        </w:trPr>
        <w:tc>
          <w:tcPr>
            <w:tcW w:w="28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1,524,335</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398,774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93,901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200,888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171,460</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3,343</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8,261</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3,790</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12,304</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w:t>
            </w:r>
          </w:p>
        </w:tc>
      </w:tr>
      <w:tr>
        <w:trPr>
          <w:trHeight w:val="244"/>
        </w:trPr>
        <w:tc>
          <w:tcPr>
            <w:tcW w:w="28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1,520,992</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390,513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90,111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188,584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171,077</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(43,988)</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(43,988)</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(11,363)</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(2,629)</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(22,940)</w:t>
            </w:r>
          </w:p>
        </w:tc>
      </w:tr>
      <w:tr>
        <w:trPr>
          <w:trHeight w:val="237"/>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1,477,004</w:t>
            </w:r>
          </w:p>
        </w:tc>
        <w:tc>
          <w:tcPr>
            <w:tcW w:w="36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346,525</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78,748</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185,955</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148,137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1.45</w:t>
            </w:r>
          </w:p>
        </w:tc>
        <w:tc>
          <w:tcPr>
            <w:tcW w:w="36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0.91</w:t>
            </w:r>
          </w:p>
        </w:tc>
        <w:tc>
          <w:tcPr>
            <w:tcW w:w="3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3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0.42</w:t>
            </w:r>
          </w:p>
        </w:tc>
        <w:tc>
          <w:tcPr>
            <w:tcW w:w="3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0.43</w:t>
            </w:r>
          </w:p>
        </w:tc>
      </w:tr>
      <w:tr>
        <w:trPr>
          <w:trHeight w:val="351"/>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1.44</w:t>
            </w:r>
          </w:p>
        </w:tc>
        <w:tc>
          <w:tcPr>
            <w:tcW w:w="36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0.91</w:t>
            </w:r>
          </w:p>
        </w:tc>
        <w:tc>
          <w:tcPr>
            <w:tcW w:w="3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3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0.42</w:t>
            </w:r>
          </w:p>
        </w:tc>
        <w:tc>
          <w:tcPr>
            <w:tcW w:w="3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0.43</w:t>
            </w:r>
          </w:p>
        </w:tc>
      </w:tr>
      <w:tr>
        <w:trPr>
          <w:trHeight w:val="540"/>
        </w:trPr>
        <w:tc>
          <w:tcPr>
            <w:tcW w:w="2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333,002</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332,302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298,083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289,285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283,821</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334,062</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333,265</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299,293</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291,270</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285,947</w:t>
            </w:r>
          </w:p>
        </w:tc>
      </w:tr>
      <w:tr>
        <w:trPr>
          <w:trHeight w:val="567"/>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3.35</w:t>
            </w:r>
          </w:p>
        </w:tc>
        <w:tc>
          <w:tcPr>
            <w:tcW w:w="36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3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471"/>
        </w:trPr>
        <w:tc>
          <w:tcPr>
            <w:tcW w:w="280" w:type="dxa"/>
            <w:vAlign w:val="bottom"/>
          </w:tcPr>
          <w:p>
            <w:pPr>
              <w:spacing w:after="0"/>
              <w:rPr>
                <w:sz w:val="24"/>
                <w:szCs w:val="24"/>
                <w:color w:val="auto"/>
              </w:rPr>
            </w:pPr>
          </w:p>
        </w:tc>
        <w:tc>
          <w:tcPr>
            <w:tcW w:w="880" w:type="dxa"/>
            <w:vAlign w:val="bottom"/>
          </w:tcPr>
          <w:p>
            <w:pPr>
              <w:jc w:val="right"/>
              <w:ind w:right="87"/>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-6250940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-5899785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-5556250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-5213350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-4870450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-4527550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-4184650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-3841115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-3498215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-3155315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-2812415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-2468880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-2125980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-1783080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-1388745</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-994410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-650875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ectPr>
          <w:pgSz w:w="11900" w:h="16838" w:orient="portrait"/>
          <w:cols w:equalWidth="0" w:num="2">
            <w:col w:w="4340" w:space="460"/>
            <w:col w:w="6620"/>
          </w:cols>
          <w:pgMar w:left="240" w:top="121"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jc w:val="right"/>
              <w:ind w:right="231"/>
              <w:spacing w:after="0"/>
              <w:rPr>
                <w:sz w:val="20"/>
                <w:szCs w:val="20"/>
                <w:color w:val="auto"/>
              </w:rPr>
            </w:pPr>
            <w:r>
              <w:rPr>
                <w:rFonts w:ascii="Arial" w:cs="Arial" w:eastAsia="Arial" w:hAnsi="Arial"/>
                <w:sz w:val="9"/>
                <w:szCs w:val="9"/>
                <w:b w:val="1"/>
                <w:bCs w:val="1"/>
                <w:color w:val="auto"/>
              </w:rPr>
              <w:t>(a)</w:t>
            </w: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9"/>
                <w:szCs w:val="9"/>
                <w:b w:val="1"/>
                <w:bCs w:val="1"/>
                <w:color w:val="auto"/>
              </w:rPr>
              <w:t>(a)</w:t>
            </w:r>
          </w:p>
        </w:tc>
        <w:tc>
          <w:tcPr>
            <w:tcW w:w="9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(a)</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r>
      <w:tr>
        <w:trPr>
          <w:trHeight w:val="196"/>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 thousands of dollars, except per share amounts)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24"/>
        </w:trPr>
        <w:tc>
          <w:tcPr>
            <w:tcW w:w="4460" w:type="dxa"/>
            <w:vAlign w:val="bottom"/>
          </w:tcPr>
          <w:p>
            <w:pPr>
              <w:ind w:left="40"/>
              <w:spacing w:after="0"/>
              <w:rPr>
                <w:sz w:val="20"/>
                <w:szCs w:val="20"/>
                <w:color w:val="auto"/>
              </w:rPr>
            </w:pPr>
            <w:r>
              <w:rPr>
                <w:rFonts w:ascii="Arial" w:cs="Arial" w:eastAsia="Arial" w:hAnsi="Arial"/>
                <w:sz w:val="16"/>
                <w:szCs w:val="16"/>
                <w:color w:val="auto"/>
              </w:rPr>
              <w:t>Summary cash flow information:</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for) operating activities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1,794,025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1,600,197</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1,171,059</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710,984</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585,539</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Net cash provided by (used for) investing activities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(1,959,734)</w:t>
            </w:r>
          </w:p>
        </w:tc>
        <w:tc>
          <w:tcPr>
            <w:tcW w:w="50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w w:val="97"/>
              </w:rPr>
              <w:t>(1,216,709)</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(5,459,285)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(4,152,200)</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(384,254)</w:t>
            </w:r>
          </w:p>
        </w:tc>
      </w:tr>
      <w:tr>
        <w:trPr>
          <w:trHeight w:val="33"/>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(935,476)</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(462,987)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4,063,133</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3,786,803</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(275,712)</w:t>
            </w:r>
          </w:p>
        </w:tc>
      </w:tr>
      <w:tr>
        <w:trPr>
          <w:trHeight w:val="270"/>
        </w:trPr>
        <w:tc>
          <w:tcPr>
            <w:tcW w:w="4460" w:type="dxa"/>
            <w:vAlign w:val="bottom"/>
          </w:tcPr>
          <w:p>
            <w:pPr>
              <w:ind w:left="40"/>
              <w:spacing w:after="0"/>
              <w:rPr>
                <w:sz w:val="20"/>
                <w:szCs w:val="20"/>
                <w:color w:val="auto"/>
              </w:rPr>
            </w:pPr>
            <w:r>
              <w:rPr>
                <w:rFonts w:ascii="Arial" w:cs="Arial" w:eastAsia="Arial" w:hAnsi="Arial"/>
                <w:sz w:val="16"/>
                <w:szCs w:val="16"/>
                <w:color w:val="auto"/>
              </w:rPr>
              <w:t>Ratio of earnings to fixed charges</w:t>
            </w:r>
            <w:r>
              <w:rPr>
                <w:rFonts w:ascii="Arial" w:cs="Arial" w:eastAsia="Arial" w:hAnsi="Arial"/>
                <w:sz w:val="21"/>
                <w:szCs w:val="21"/>
                <w:color w:val="auto"/>
                <w:vertAlign w:val="superscript"/>
              </w:rPr>
              <w:t>(e)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50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1.4</w:t>
            </w:r>
          </w:p>
        </w:tc>
        <w:tc>
          <w:tcPr>
            <w:tcW w:w="54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 (at period end):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178,810</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151,312</w:t>
            </w:r>
          </w:p>
        </w:tc>
        <w:tc>
          <w:tcPr>
            <w:tcW w:w="540" w:type="dxa"/>
            <w:vAlign w:val="bottom"/>
          </w:tcPr>
          <w:p>
            <w:pPr>
              <w:jc w:val="right"/>
              <w:ind w:right="1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200,526</w:t>
            </w:r>
          </w:p>
        </w:tc>
        <w:tc>
          <w:tcPr>
            <w:tcW w:w="3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405,682</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59,767</w:t>
            </w:r>
          </w:p>
        </w:tc>
      </w:tr>
      <w:tr>
        <w:trPr>
          <w:trHeight w:val="33"/>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9,580,057</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8,982,783</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8,764,031</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6,714,481</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4,662,245</w:t>
            </w:r>
          </w:p>
        </w:tc>
      </w:tr>
      <w:tr>
        <w:trPr>
          <w:trHeight w:val="224"/>
        </w:trPr>
        <w:tc>
          <w:tcPr>
            <w:tcW w:w="44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w w:val="99"/>
              </w:rPr>
              <w:t>22,036,245</w:t>
            </w:r>
          </w:p>
        </w:tc>
        <w:tc>
          <w:tcPr>
            <w:tcW w:w="50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w w:val="92"/>
              </w:rPr>
              <w:t>21,143,276</w:t>
            </w:r>
          </w:p>
        </w:tc>
        <w:tc>
          <w:tcPr>
            <w:tcW w:w="54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w w:val="99"/>
              </w:rPr>
              <w:t>20,594,908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w w:val="99"/>
              </w:rPr>
              <w:t>16,088,709</w:t>
            </w:r>
          </w:p>
        </w:tc>
        <w:tc>
          <w:tcPr>
            <w:tcW w:w="3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w w:val="99"/>
              </w:rPr>
              <w:t>10,545,096</w:t>
            </w:r>
          </w:p>
        </w:tc>
      </w:tr>
      <w:tr>
        <w:trPr>
          <w:trHeight w:val="47"/>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and other long-term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9"/>
              </w:rPr>
              <w:t>12,249,238</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2"/>
              </w:rPr>
              <w:t>11,920,861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11,594,500</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99"/>
              </w:rPr>
              <w:t>11,611,242</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6,885,699</w:t>
            </w:r>
          </w:p>
        </w:tc>
      </w:tr>
      <w:tr>
        <w:trPr>
          <w:trHeight w:val="298"/>
        </w:trPr>
        <w:tc>
          <w:tcPr>
            <w:tcW w:w="4460" w:type="dxa"/>
            <w:vAlign w:val="bottom"/>
          </w:tcPr>
          <w:p>
            <w:pPr>
              <w:ind w:left="40"/>
              <w:spacing w:after="0"/>
              <w:rPr>
                <w:sz w:val="20"/>
                <w:szCs w:val="20"/>
                <w:color w:val="auto"/>
              </w:rPr>
            </w:pPr>
            <w:r>
              <w:rPr>
                <w:rFonts w:ascii="Arial" w:cs="Arial" w:eastAsia="Arial" w:hAnsi="Arial"/>
                <w:sz w:val="16"/>
                <w:szCs w:val="16"/>
                <w:color w:val="auto"/>
              </w:rPr>
              <w:t>Total CCIC stockholders' equity</w:t>
            </w:r>
            <w:r>
              <w:rPr>
                <w:rFonts w:ascii="Arial" w:cs="Arial" w:eastAsia="Arial" w:hAnsi="Arial"/>
                <w:sz w:val="21"/>
                <w:szCs w:val="21"/>
                <w:color w:val="auto"/>
                <w:vertAlign w:val="superscript"/>
              </w:rPr>
              <w:t>(f)</w:t>
            </w:r>
          </w:p>
        </w:tc>
        <w:tc>
          <w:tcPr>
            <w:tcW w:w="22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7,089,221</w:t>
            </w:r>
          </w:p>
        </w:tc>
        <w:tc>
          <w:tcPr>
            <w:tcW w:w="50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6,716,225</w:t>
            </w:r>
          </w:p>
        </w:tc>
        <w:tc>
          <w:tcPr>
            <w:tcW w:w="54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6,926,717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2,938,748</w:t>
            </w:r>
          </w:p>
        </w:tc>
        <w:tc>
          <w:tcPr>
            <w:tcW w:w="38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2,386,245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67945</wp:posOffset>
            </wp:positionV>
            <wp:extent cx="91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95" w:lineRule="exact"/>
        <w:rPr>
          <w:sz w:val="20"/>
          <w:szCs w:val="20"/>
          <w:color w:val="auto"/>
        </w:rPr>
      </w:pPr>
    </w:p>
    <w:p>
      <w:pPr>
        <w:ind w:left="340" w:hanging="332"/>
        <w:spacing w:after="0" w:line="269"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Inclusive of the impact of acquisitions. See note 4 to our consolidated financial statements for a discussion of our acquisitions during 2013, 2014, and 2015. In addition, during 2012, we acquired (1) rights to approximately 7,100 towers through the T-Mobile Acquisition and (2) NextG Networks, Inc., the then largest U.S operator of outdoor DAS, a type of small cells.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which are shown separately.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note 11 to our consolidated financial statements regarding our income taxes, including our REIT election.</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Basic net income (loss) attributable to CCIC common stockholders, per common share excludes dilution and is computed by dividing net income (loss) attributable to CCIC common stockholders by the weighted-average number of common shares outstanding during the period. Diluted income (loss) attributable to CCIC common stockholders, per common share is computed by dividing net income (loss) attributable to CCIC common stockholders by the weighted-average number of common shares outstanding during the period plus any potential dilutive common share equivalents, including shares issuable (1) upon the vesting of unvested restricted stock awards ("RSAs") and unvested restricted stock units ("RSUs"), as determined under the treasury stock method and (2) upon conversion of our Convertible Preferred Stock, as determined under the if-converted method. See note 2 to our consolidated financial statements.</w:t>
      </w:r>
    </w:p>
    <w:p>
      <w:pPr>
        <w:ind w:left="340" w:hanging="332"/>
        <w:spacing w:after="0" w:line="260"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For purposes of computing the ratio of earnings to fixed charges, earnings represent income (loss) before income taxes and fixed charges less interest capitalized. Fixed charges consist of interest expense, amortized premiums, discounts and capitalized expenses related to indebtedness, interest capitalized and the interest component of operating lease expense.</w:t>
      </w:r>
    </w:p>
    <w:p>
      <w:pPr>
        <w:jc w:val="both"/>
        <w:ind w:left="340" w:hanging="332"/>
        <w:spacing w:after="0" w:line="248"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October 2013, we issued 41.4 million shares of common stock, which generated net proceeds of $3.0 billion, and approximately 9.8 million shares of Convertible Preferred Stock, which generated net proceeds of $950.9 million, to partially fund the AT&amp;T Acquisition (collectively, "October 2013 Equity Financings"). See notes 4 and 12 to our consolidated financial statements regarding the AT&amp;T Acquisition and October 2013 Equity Financings.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9" w:right="239" w:bottom="1440" w:gutter="0" w:footer="0" w:header="0"/>
        </w:sectPr>
      </w:pPr>
    </w:p>
    <w:bookmarkStart w:id="26" w:name="page27"/>
    <w:bookmarkEnd w:id="26"/>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We own, operate, and lease shared wireless infrastructure. See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for a further discussion of our business, including our long-term strategy, our REIT status, certain key terms of our lease agreements, and growth trends in the wireless industry. Site rental revenues represented 82% of our 2015 consolidated net revenues. The vast majority of our site rental revenues is of a recurring nature and has been contracted for in a prior year.</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year ended December 31, 2015:</w:t>
      </w:r>
    </w:p>
    <w:p>
      <w:pPr>
        <w:spacing w:after="0" w:line="171" w:lineRule="exact"/>
        <w:rPr>
          <w:sz w:val="20"/>
          <w:szCs w:val="20"/>
          <w:color w:val="auto"/>
        </w:rPr>
      </w:pPr>
    </w:p>
    <w:p>
      <w:pPr>
        <w:ind w:left="820" w:hanging="407"/>
        <w:spacing w:after="0" w:line="25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Effective January 1, 2014, we commenced operating as a REIT for U.S. federal income tax purposes (see </w:t>
      </w:r>
      <w:r>
        <w:rPr>
          <w:rFonts w:ascii="Arial" w:cs="Arial" w:eastAsia="Arial" w:hAnsi="Arial"/>
          <w:sz w:val="18"/>
          <w:szCs w:val="18"/>
          <w:i w:val="1"/>
          <w:iCs w:val="1"/>
          <w:color w:val="auto"/>
        </w:rPr>
        <w:t>"Item 1. Business—2015 Industry</w:t>
      </w:r>
      <w:r>
        <w:rPr>
          <w:rFonts w:ascii="Arial" w:cs="Arial" w:eastAsia="Arial" w:hAnsi="Arial"/>
          <w:sz w:val="18"/>
          <w:szCs w:val="18"/>
          <w:color w:val="auto"/>
        </w:rPr>
        <w:t xml:space="preserve"> </w:t>
      </w:r>
      <w:r>
        <w:rPr>
          <w:rFonts w:ascii="Arial" w:cs="Arial" w:eastAsia="Arial" w:hAnsi="Arial"/>
          <w:sz w:val="18"/>
          <w:szCs w:val="18"/>
          <w:i w:val="1"/>
          <w:iCs w:val="1"/>
          <w:color w:val="auto"/>
        </w:rPr>
        <w:t>Highlights and Company Developments—REIT Election").</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resulting from wireless network expansion and new entrants</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wireless infrastructure.</w:t>
      </w:r>
    </w:p>
    <w:p>
      <w:pPr>
        <w:jc w:val="both"/>
        <w:ind w:left="1140" w:hanging="322"/>
        <w:spacing w:after="0" w:line="281"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We expect existing and potential new wireless carrier demand for our wireless infrastructure will result from (1) new technologies, (2) increased usage of wireless applications (including mobile entertainment, mobile internet usage, and machine-to-machine applications), (3) adoption of other emerging and embedded wireless devices (including smartphones, laptops, tablets, and other devices), (4) increasing smartphone penetration, (5) wireless carrier focus on expanding quality and capacity, or (6) the availability of additional spectrum.</w:t>
      </w:r>
    </w:p>
    <w:p>
      <w:pPr>
        <w:spacing w:after="0" w:line="2" w:lineRule="exact"/>
        <w:rPr>
          <w:rFonts w:ascii="Arial" w:cs="Arial" w:eastAsia="Arial" w:hAnsi="Arial"/>
          <w:sz w:val="16"/>
          <w:szCs w:val="16"/>
          <w:color w:val="auto"/>
        </w:rPr>
      </w:pPr>
    </w:p>
    <w:p>
      <w:pPr>
        <w:ind w:left="1140" w:hanging="322"/>
        <w:spacing w:after="0" w:line="250"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Substantially all of our wireless infrastructure can accommodate additional tenancy, either as currently constructed or with appropriate modifications to the structure.</w:t>
      </w:r>
    </w:p>
    <w:p>
      <w:pPr>
        <w:ind w:left="1140" w:hanging="322"/>
        <w:spacing w:after="0"/>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Wireless carriers continue to invest in their networks.</w:t>
      </w:r>
    </w:p>
    <w:p>
      <w:pPr>
        <w:spacing w:after="0" w:line="9" w:lineRule="exact"/>
        <w:rPr>
          <w:rFonts w:ascii="Arial" w:cs="Arial" w:eastAsia="Arial" w:hAnsi="Arial"/>
          <w:sz w:val="18"/>
          <w:szCs w:val="18"/>
          <w:color w:val="auto"/>
        </w:rPr>
      </w:pPr>
    </w:p>
    <w:p>
      <w:pPr>
        <w:ind w:left="1140" w:right="20" w:hanging="322"/>
        <w:spacing w:after="0" w:line="250"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site rental revenues grew $152 million, or 5%, from full year 2014 to 2015. This growth was predominately comprised of the following, exclusive of the impact of straight-line accounting:</w:t>
      </w:r>
    </w:p>
    <w:p>
      <w:pPr>
        <w:ind w:left="1460" w:hanging="318"/>
        <w:spacing w:after="0"/>
        <w:tabs>
          <w:tab w:leader="none" w:pos="14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 approximate 6% increase from new leasing activity.</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 approximate 3% increase from cash escalations.</w:t>
      </w:r>
    </w:p>
    <w:p>
      <w:pPr>
        <w:spacing w:after="0" w:line="9" w:lineRule="exact"/>
        <w:rPr>
          <w:rFonts w:ascii="Arial" w:cs="Arial" w:eastAsia="Arial" w:hAnsi="Arial"/>
          <w:sz w:val="18"/>
          <w:szCs w:val="18"/>
          <w:color w:val="auto"/>
        </w:rPr>
      </w:pPr>
    </w:p>
    <w:p>
      <w:pPr>
        <w:ind w:left="1460" w:hanging="318"/>
        <w:spacing w:after="0" w:line="250" w:lineRule="auto"/>
        <w:tabs>
          <w:tab w:leader="none" w:pos="14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 approximate 4% decrease in site rental revenues caused by the non-renewal of tenant leases, primarily resulting from Sprint's decommissioning of its legacy Nextel iDEN network.</w:t>
      </w: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Site rental revenues under long-term tenant leases with contractual escalations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Initial terms of five to 15 years with multiple renewal periods at the option of the tenant of five to ten years each.</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Weighted-average remaining term of approximately six years, exclusive of renewals at the tenant's option, currently representing approximately $20 billion of expected future cash inflows.</w:t>
      </w: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Approximately 90% of our site rental revenues were derived from AT&amp;T, T-Mobile, Verizon, and Sprint. See also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 16 to our consolidated financial statements.</w:t>
      </w: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Majority of land interests under our towers under long-term control</w:t>
      </w:r>
    </w:p>
    <w:p>
      <w:pPr>
        <w:spacing w:after="0" w:line="9" w:lineRule="exact"/>
        <w:rPr>
          <w:rFonts w:ascii="Arial" w:cs="Arial" w:eastAsia="Arial" w:hAnsi="Arial"/>
          <w:sz w:val="18"/>
          <w:szCs w:val="18"/>
          <w:color w:val="auto"/>
        </w:rPr>
      </w:pPr>
    </w:p>
    <w:p>
      <w:pPr>
        <w:jc w:val="both"/>
        <w:ind w:left="1140" w:hanging="322"/>
        <w:spacing w:after="0" w:line="250"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Nearly 90% and more than 75% of our site rental gross margin is derived from towers that reside on land that we own or control for greater than ten and 20 years, respectively. The aforementioned amounts include towers that reside on land interests that are owned, including fee interests and perpetual easements, which represent approximately one-third of our site rental gross margin.</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Relatively fixed wireless infrastructure operating costs</w:t>
      </w:r>
    </w:p>
    <w:p>
      <w:pPr>
        <w:spacing w:after="0" w:line="9" w:lineRule="exact"/>
        <w:rPr>
          <w:rFonts w:ascii="Arial" w:cs="Arial" w:eastAsia="Arial" w:hAnsi="Arial"/>
          <w:sz w:val="18"/>
          <w:szCs w:val="18"/>
          <w:color w:val="auto"/>
        </w:rPr>
      </w:pPr>
    </w:p>
    <w:p>
      <w:pPr>
        <w:ind w:left="1140" w:right="20" w:hanging="322"/>
        <w:spacing w:after="0" w:line="250"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wireless infrastructure operating costs tend to increase at approximately the rate of inflation and are not typically influenced by tenant additions.</w:t>
      </w: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3% of net revenues.</w:t>
      </w:r>
    </w:p>
    <w:p>
      <w:pPr>
        <w:spacing w:after="0" w:line="9" w:lineRule="exact"/>
        <w:rPr>
          <w:rFonts w:ascii="Arial" w:cs="Arial" w:eastAsia="Arial" w:hAnsi="Arial"/>
          <w:sz w:val="18"/>
          <w:szCs w:val="18"/>
          <w:color w:val="auto"/>
        </w:rPr>
      </w:pPr>
    </w:p>
    <w:p>
      <w:pPr>
        <w:ind w:left="820" w:right="20" w:hanging="407"/>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Debt portfolio with long-dated maturities extended over multiple years, with the majority of such debt having a fixed rate (see </w:t>
      </w:r>
      <w:r>
        <w:rPr>
          <w:rFonts w:ascii="Arial" w:cs="Arial" w:eastAsia="Arial" w:hAnsi="Arial"/>
          <w:sz w:val="18"/>
          <w:szCs w:val="18"/>
          <w:i w:val="1"/>
          <w:iCs w:val="1"/>
          <w:color w:val="auto"/>
        </w:rPr>
        <w:t>"Item 7A.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for a further discussion of our debt)</w:t>
      </w:r>
    </w:p>
    <w:p>
      <w:pPr>
        <w:ind w:left="1140" w:hanging="322"/>
        <w:spacing w:after="0"/>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After giving effect to our 2016 Refinancings described below, 81% of our debt has fixed rate coupons.</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Our debt service coverage and leverage ratios were comfortably within their respective financial maintenance covenants. See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—Liquidity and Capital Resources—Debt Covenants" </w:t>
      </w:r>
      <w:r>
        <w:rPr>
          <w:rFonts w:ascii="Arial" w:cs="Arial" w:eastAsia="Arial" w:hAnsi="Arial"/>
          <w:sz w:val="18"/>
          <w:szCs w:val="18"/>
          <w:color w:val="auto"/>
        </w:rPr>
        <w:t>for a further discussion of our debt covenants.</w:t>
      </w:r>
    </w:p>
    <w:p>
      <w:pPr>
        <w:ind w:left="1140" w:hanging="322"/>
        <w:spacing w:after="0" w:line="261"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During the second quarter 2015, we (1) issued $1.0 billion aggregate principal amount of the May 2015 tower revenue notes, (2) repaid $250.0 million of August 2010 tower revenue notes with an anticipated repayment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ind w:left="1140"/>
        <w:spacing w:after="0" w:line="282" w:lineRule="auto"/>
        <w:rPr>
          <w:sz w:val="20"/>
          <w:szCs w:val="20"/>
          <w:color w:val="auto"/>
        </w:rPr>
      </w:pPr>
      <w:r>
        <w:rPr>
          <w:rFonts w:ascii="Arial" w:cs="Arial" w:eastAsia="Arial" w:hAnsi="Arial"/>
          <w:sz w:val="18"/>
          <w:szCs w:val="18"/>
          <w:color w:val="auto"/>
        </w:rPr>
        <w:t>of August 2015, (3) repaid all of the previously outstanding WCP securitized notes, and (4) repaid a portion of our outstanding borrowings under our previously outstanding 2012 Credit Facility.</w:t>
      </w:r>
    </w:p>
    <w:p>
      <w:pPr>
        <w:spacing w:after="0" w:line="1" w:lineRule="exact"/>
        <w:rPr>
          <w:sz w:val="20"/>
          <w:szCs w:val="20"/>
          <w:color w:val="auto"/>
        </w:rPr>
      </w:pPr>
    </w:p>
    <w:p>
      <w:pPr>
        <w:jc w:val="both"/>
        <w:ind w:left="1140" w:hanging="322"/>
        <w:spacing w:after="0" w:line="255"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In January 2016, we completed a new senior unsecured $5.5 billion 2016 Credit Facility and utilized the proceeds, together with cash on hand, to repay all outstanding borrowings under the previously outstanding 2012 Credit Facility. See </w:t>
      </w:r>
      <w:r>
        <w:rPr>
          <w:rFonts w:ascii="Arial" w:cs="Arial" w:eastAsia="Arial" w:hAnsi="Arial"/>
          <w:sz w:val="18"/>
          <w:szCs w:val="18"/>
          <w:i w:val="1"/>
          <w:iCs w:val="1"/>
          <w:color w:val="auto"/>
        </w:rPr>
        <w:t>"Item 7.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Resources—Credit Facility."</w:t>
      </w:r>
    </w:p>
    <w:p>
      <w:pPr>
        <w:spacing w:after="0" w:line="1" w:lineRule="exact"/>
        <w:rPr>
          <w:rFonts w:ascii="Arial" w:cs="Arial" w:eastAsia="Arial" w:hAnsi="Arial"/>
          <w:sz w:val="18"/>
          <w:szCs w:val="18"/>
          <w:color w:val="auto"/>
        </w:rPr>
      </w:pPr>
    </w:p>
    <w:p>
      <w:pPr>
        <w:jc w:val="both"/>
        <w:ind w:left="1140" w:hanging="322"/>
        <w:spacing w:after="0" w:line="281" w:lineRule="auto"/>
        <w:tabs>
          <w:tab w:leader="none" w:pos="11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In February 2016, we issued $1.5 billion aggregate principal amount of investment grade senior unsecured notes and utilized the proceeds, along with cash on hand, to (1) repay in full all outstanding borrowings under the $1.0 billion Senior Unsecured 364-Day Revolving Credit Facility ("364-Day Facility")(and, in connection therewith, terminate all commitments thereunder), and (2) to repay $500.0 million of outstanding borrowings under the 2016 Revolver. See </w:t>
      </w:r>
      <w:r>
        <w:rPr>
          <w:rFonts w:ascii="Arial" w:cs="Arial" w:eastAsia="Arial" w:hAnsi="Arial"/>
          <w:sz w:val="16"/>
          <w:szCs w:val="16"/>
          <w:i w:val="1"/>
          <w:iCs w:val="1"/>
          <w:color w:val="auto"/>
        </w:rPr>
        <w:t>"Item 7. MD&amp;A—Liquidity and Capital Resources—Financing Activities."</w:t>
      </w:r>
    </w:p>
    <w:p>
      <w:pPr>
        <w:spacing w:after="0" w:line="2" w:lineRule="exact"/>
        <w:rPr>
          <w:rFonts w:ascii="Arial" w:cs="Arial" w:eastAsia="Arial" w:hAnsi="Arial"/>
          <w:sz w:val="16"/>
          <w:szCs w:val="16"/>
          <w:color w:val="auto"/>
        </w:rPr>
      </w:pPr>
    </w:p>
    <w:p>
      <w:pPr>
        <w:ind w:left="1140" w:hanging="322"/>
        <w:spacing w:after="0" w:line="250"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Collectively, the completion of the 2016 Credit Facility, the repayment of the 2012 Credit Facility, the issuance of $1.5 billion senior unsecured notes and the use of proceeds from such notes are referred to herein as the "2016 Refinancings."</w:t>
      </w: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Net cash provided by operating activities was $1.8 billion.</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expect to grow our core business of providing access to our wireless infrastructure as a result of contractual escalators and anticipated demand for our wireless infrastructure.</w:t>
      </w: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Returning cash flows provided by operations to stockholders in the form of dividends (see also </w:t>
      </w:r>
      <w:r>
        <w:rPr>
          <w:rFonts w:ascii="Arial" w:cs="Arial" w:eastAsia="Arial" w:hAnsi="Arial"/>
          <w:sz w:val="18"/>
          <w:szCs w:val="18"/>
          <w:i w:val="1"/>
          <w:iCs w:val="1"/>
          <w:color w:val="auto"/>
        </w:rPr>
        <w:t>"Item 1. Business"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During 2015, we paid common stock dividends totaling approximately $1.1 billion. See </w:t>
      </w:r>
      <w:r>
        <w:rPr>
          <w:rFonts w:ascii="Arial" w:cs="Arial" w:eastAsia="Arial" w:hAnsi="Arial"/>
          <w:sz w:val="18"/>
          <w:szCs w:val="18"/>
          <w:i w:val="1"/>
          <w:iCs w:val="1"/>
          <w:color w:val="auto"/>
        </w:rPr>
        <w:t>"Item 7. MD&amp;A—General Overview—Common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Dividend" </w:t>
      </w:r>
      <w:r>
        <w:rPr>
          <w:rFonts w:ascii="Arial" w:cs="Arial" w:eastAsia="Arial" w:hAnsi="Arial"/>
          <w:sz w:val="18"/>
          <w:szCs w:val="18"/>
          <w:color w:val="auto"/>
        </w:rPr>
        <w:t>for a discussion of the increase to our quarterly dividend in the fourth quarter of 2015.</w:t>
      </w: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Investing capital efficiently to grow long-term dividends per share (see also </w:t>
      </w:r>
      <w:r>
        <w:rPr>
          <w:rFonts w:ascii="Arial" w:cs="Arial" w:eastAsia="Arial" w:hAnsi="Arial"/>
          <w:sz w:val="18"/>
          <w:szCs w:val="18"/>
          <w:i w:val="1"/>
          <w:iCs w:val="1"/>
          <w:color w:val="auto"/>
        </w:rPr>
        <w:t>"Item 1. Business"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40" w:hanging="322"/>
        <w:spacing w:after="0" w:line="261"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Discretionary capital expenditures of $804.0 million, including wireless infrastructure improvements in order to support additional site rentals, construction of wireless infrastructure, and land purchases. See also discussion of the Sunesys Acquisition below.</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Common Stock Dividend</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each of the first three quarters of 2015, we paid a quarterly common stock dividend of $0.82 per share, totaling approximately $821.1 million. In October 2015, we increased our quarterly dividend, beginning in the fourth quarter of 2015, from an annual amount of $3.28 per share to an annual amount of $3.54 per share. As such, we declared a quarterly dividend of $0.885 per share in October 2015, which represented an increase of 8% from the quarterly dividend declared during each of the first three quarters of 2015. We currently expect such dividends to result in aggregate annual cash payments of approximately $1.2 billion during the next 12 months. Over time, we expect to increase our dividend per share generally commensurate with our realized growth in cash flows. Future dividends are subject to the approval of our board of directors. See notes 12 and 19 to our consolidated financial statements.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CCAL</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May 2015, we entered into a definitive agreement to sell our 77.6% owned Australian subsidiary, CCAL, to a consortium of investors led by Macquarie Infrastructure and Real Assets. On May 28, 2015, we completed the sale of CCAL. At closing, we received net proceeds of approximately $1.1 billion after accounting for our ownership interest, repayment of intercompany debt owed to us by CCAL and estimated transaction fees and expenses, exclusive of the impact of foreign currency swaps related to the CCAL sale. See note 3 to our consolidated financial statements.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sale of CCAL, in January 2016, we received an installment payment of approximately $124 million from the Buyer, inclusive of the impact of the related foreign currency swap (see note 9 to our consolidated financial statements). During the second quarter 2015, we used net proceeds from the sale of CCAL, together with net proceeds from the May 2015 tower revenue notes, to (1) repay $250.0 million aggregate principal amount of August 2010 tower revenue notes with an anticipated repayment date of August 2015, (2) repay all of the previously outstanding WCP securitized notes, (3) repay portions of outstanding borrowings under our previously outstanding 2012 Credit Facility, and (4) to pay related fees and expenses. See note 8 to our consolidated financial statements.</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entered into foreign currency swaps to manage and reduce our foreign currency risk associated with the sale of CCAL. These swaps are not included in discontinued operations. See note 9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52" w:right="2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i w:val="1"/>
          <w:iCs w:val="1"/>
          <w:color w:val="auto"/>
        </w:rPr>
        <w:t>Sunesys Acquisition</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April 2015, we entered into a definitive agreement to acquire Sunesys for approximately $1.0 billion in cash, subject to certain limited adjustments. On August 4, 2015, we closed the Sunesys Acquisition utilizing $835.0 million in 2012 Revolver borrowings and cash on hand. Prior to the closing, Sunesys was a wholly owned subsidiary of Quanta Services, Inc., and a fiber services provider that owned or had rights to nearly 10,000 miles of fiber in major metropolitan markets across the U.S., including Los Angeles, Philadelphia, Chicago, Atlanta, Silicon Valley, and northern New Jersey. Approximately 60% of Sunesys' fiber miles were located in the top 10 BTAs. See note 4 to our consolidated financial statements.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Outlook Highlights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2016 outlook that impact our business fundamentals described above.</w:t>
      </w:r>
    </w:p>
    <w:p>
      <w:pPr>
        <w:spacing w:after="0" w:line="90" w:lineRule="exact"/>
        <w:rPr>
          <w:sz w:val="20"/>
          <w:szCs w:val="20"/>
          <w:color w:val="auto"/>
        </w:rPr>
      </w:pPr>
    </w:p>
    <w:p>
      <w:pPr>
        <w:jc w:val="both"/>
        <w:ind w:left="820" w:hanging="407"/>
        <w:spacing w:after="0" w:line="25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We expect that our full year 2016 site rental revenue growth will benefit from similar levels of tenant additions as in 2015, as large wireless carriers continue to upgrade and enhance their networks, partially offset by an increase in non-renewals of tenant leases primarily resulting from anticipated non-renewals from our customers' decommissioning of the Acquired Networks.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a further discussion of non-renewals. See note 15 to our consolidated financial statements.</w:t>
      </w:r>
    </w:p>
    <w:p>
      <w:pPr>
        <w:spacing w:after="0" w:line="2"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total capital expenditures for 2016 to equal or exceed 2015 levels with a continued increase in the construction of new small cells. We also expect sustaining capital expenditures of approximately 2% of net revenues for full year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w:t>
      </w:r>
      <w:r>
        <w:rPr>
          <w:rFonts w:ascii="Arial" w:cs="Arial" w:eastAsia="Arial" w:hAnsi="Arial"/>
          <w:sz w:val="18"/>
          <w:szCs w:val="18"/>
          <w:i w:val="1"/>
          <w:iCs w:val="1"/>
          <w:color w:val="auto"/>
        </w:rPr>
        <w:t>"Item 1. Business," "Item 7.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and our consolidated financial statements. The following discussion of our results of operations is based on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prepared in accordance with generally accepted accounting principles in the U.S. ("GAAP") which require us to make estimates and judgments that affect the reported amounts (see </w:t>
      </w:r>
      <w:r>
        <w:rPr>
          <w:rFonts w:ascii="Arial" w:cs="Arial" w:eastAsia="Arial" w:hAnsi="Arial"/>
          <w:sz w:val="18"/>
          <w:szCs w:val="18"/>
          <w:i w:val="1"/>
          <w:iCs w:val="1"/>
          <w:color w:val="auto"/>
        </w:rPr>
        <w:t>"Item 7. MD&amp;A—Accounting and Reporting Matters—Critical Accounting Policies and Estimates"</w:t>
      </w:r>
      <w:r>
        <w:rPr>
          <w:rFonts w:ascii="Arial" w:cs="Arial" w:eastAsia="Arial" w:hAnsi="Arial"/>
          <w:sz w:val="18"/>
          <w:szCs w:val="18"/>
          <w:color w:val="auto"/>
        </w:rPr>
        <w:t xml:space="preserve"> and note 2 to our consolidated financial statements).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Comparison of Consolidated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comparison of our 2015, 2014 and 2013 consolidated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Percent Change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gridSpan w:val="2"/>
          </w:tcPr>
          <w:p>
            <w:pPr>
              <w:jc w:val="center"/>
              <w:ind w:left="528"/>
              <w:spacing w:after="0" w:line="153" w:lineRule="exact"/>
              <w:rPr>
                <w:sz w:val="20"/>
                <w:szCs w:val="20"/>
                <w:color w:val="auto"/>
              </w:rPr>
            </w:pPr>
            <w:r>
              <w:rPr>
                <w:rFonts w:ascii="Arial" w:cs="Arial" w:eastAsia="Arial" w:hAnsi="Arial"/>
                <w:sz w:val="14"/>
                <w:szCs w:val="14"/>
                <w:b w:val="1"/>
                <w:bCs w:val="1"/>
                <w:color w:val="auto"/>
                <w:w w:val="89"/>
              </w:rPr>
              <w:t>2015</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500"/>
              <w:spacing w:after="0" w:line="153"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94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81"/>
              </w:rPr>
              <w:t>vs.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jc w:val="right"/>
              <w:ind w:right="560"/>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89"/>
              </w:rPr>
              <w:t>2014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500"/>
              <w:spacing w:after="0"/>
              <w:rPr>
                <w:sz w:val="20"/>
                <w:szCs w:val="20"/>
                <w:color w:val="auto"/>
              </w:rPr>
            </w:pPr>
            <w:r>
              <w:rPr>
                <w:rFonts w:ascii="Arial" w:cs="Arial" w:eastAsia="Arial" w:hAnsi="Arial"/>
                <w:sz w:val="16"/>
                <w:szCs w:val="16"/>
                <w:color w:val="auto"/>
              </w:rPr>
              <w:t>Site rental</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3,018,413</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2,866,613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2,371,380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Network services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645,438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672,143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494,371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7"/>
        </w:trPr>
        <w:tc>
          <w:tcPr>
            <w:tcW w:w="4040" w:type="dxa"/>
            <w:vAlign w:val="bottom"/>
          </w:tcPr>
          <w:p>
            <w:pPr>
              <w:ind w:left="100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3,663,851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3,538,756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2,865,751</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50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Site rental</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963,869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686,873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37"/>
        </w:trPr>
        <w:tc>
          <w:tcPr>
            <w:tcW w:w="4040" w:type="dxa"/>
            <w:vAlign w:val="bottom"/>
          </w:tcPr>
          <w:p>
            <w:pPr>
              <w:ind w:left="720"/>
              <w:spacing w:after="0"/>
              <w:rPr>
                <w:sz w:val="20"/>
                <w:szCs w:val="20"/>
                <w:color w:val="auto"/>
              </w:rPr>
            </w:pPr>
            <w:r>
              <w:rPr>
                <w:rFonts w:ascii="Arial" w:cs="Arial" w:eastAsia="Arial" w:hAnsi="Arial"/>
                <w:sz w:val="16"/>
                <w:szCs w:val="16"/>
                <w:color w:val="auto"/>
              </w:rPr>
              <w:t>Network services and other</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357,557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400,454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304,144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Total costs of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1,321,426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1,306,606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991,017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37"/>
        </w:trPr>
        <w:tc>
          <w:tcPr>
            <w:tcW w:w="40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310,921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257,296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213,519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 write-down charges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33,468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13,595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40" w:type="dxa"/>
            <w:vAlign w:val="bottom"/>
          </w:tcPr>
          <w:p>
            <w:pPr>
              <w:ind w:left="500"/>
              <w:spacing w:after="0"/>
              <w:rPr>
                <w:sz w:val="20"/>
                <w:szCs w:val="20"/>
                <w:color w:val="auto"/>
              </w:rPr>
            </w:pPr>
            <w:r>
              <w:rPr>
                <w:rFonts w:ascii="Arial" w:cs="Arial" w:eastAsia="Arial" w:hAnsi="Arial"/>
                <w:sz w:val="16"/>
                <w:szCs w:val="16"/>
                <w:color w:val="auto"/>
              </w:rPr>
              <w:t>Acquisition and integration costs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34,145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25,574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1,036,178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985,781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741,342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7"/>
        </w:trPr>
        <w:tc>
          <w:tcPr>
            <w:tcW w:w="4040" w:type="dxa"/>
            <w:vAlign w:val="bottom"/>
          </w:tcPr>
          <w:p>
            <w:pPr>
              <w:ind w:left="10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2,717,671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2,598,074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1,985,047</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946,180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940,682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880,704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w w:val="91"/>
              </w:rPr>
              <w:t>Interest expense and amortization of deferred financing costs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(527,128)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(573,291)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(589,630)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Gains (losses) on retirement of long-term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57,028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0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00"/>
              <w:spacing w:after="0"/>
              <w:rPr>
                <w:sz w:val="20"/>
                <w:szCs w:val="20"/>
                <w:color w:val="auto"/>
              </w:rPr>
            </w:pPr>
            <w:r>
              <w:rPr>
                <w:rFonts w:ascii="Arial" w:cs="Arial" w:eastAsia="Arial" w:hAnsi="Arial"/>
                <w:sz w:val="16"/>
                <w:szCs w:val="16"/>
                <w:color w:val="auto"/>
              </w:rPr>
              <w:t>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473,829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335,070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251,001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51,457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(191,000)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525,286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346,314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60,001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500"/>
              <w:spacing w:after="0"/>
              <w:rPr>
                <w:sz w:val="20"/>
                <w:szCs w:val="20"/>
                <w:color w:val="auto"/>
              </w:rPr>
            </w:pPr>
            <w:r>
              <w:rPr>
                <w:rFonts w:ascii="Arial" w:cs="Arial" w:eastAsia="Arial" w:hAnsi="Arial"/>
                <w:sz w:val="16"/>
                <w:szCs w:val="16"/>
                <w:color w:val="auto"/>
                <w:w w:val="92"/>
              </w:rPr>
              <w:t>Income (loss) from discontinued operations, net of tax</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19,690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52,460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33,900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gain (loss) from disposal of discontinued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operations, net of tax</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979,359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tcPr>
          <w:p>
            <w:pPr>
              <w:ind w:left="500"/>
              <w:spacing w:after="0"/>
              <w:rPr>
                <w:sz w:val="20"/>
                <w:szCs w:val="20"/>
                <w:color w:val="auto"/>
              </w:rPr>
            </w:pPr>
            <w:r>
              <w:rPr>
                <w:rFonts w:ascii="Arial" w:cs="Arial" w:eastAsia="Arial" w:hAnsi="Arial"/>
                <w:sz w:val="16"/>
                <w:szCs w:val="16"/>
                <w:color w:val="auto"/>
                <w:w w:val="92"/>
              </w:rPr>
              <w:t>Income (loss) from discontinued operations, net of tax</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999,049</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52,460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33,900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1,524,335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93,901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40" w:type="dxa"/>
            <w:vAlign w:val="bottom"/>
          </w:tcPr>
          <w:p>
            <w:pPr>
              <w:ind w:left="40"/>
              <w:spacing w:after="0"/>
              <w:rPr>
                <w:sz w:val="20"/>
                <w:szCs w:val="20"/>
                <w:color w:val="auto"/>
              </w:rPr>
            </w:pPr>
            <w:r>
              <w:rPr>
                <w:rFonts w:ascii="Arial" w:cs="Arial" w:eastAsia="Arial" w:hAnsi="Arial"/>
                <w:sz w:val="16"/>
                <w:szCs w:val="16"/>
                <w:color w:val="auto"/>
                <w:w w:val="99"/>
              </w:rPr>
              <w:t>Less: Net income (loss) attributable to the noncontrolling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00"/>
              <w:spacing w:after="0"/>
              <w:rPr>
                <w:sz w:val="20"/>
                <w:szCs w:val="20"/>
                <w:color w:val="auto"/>
              </w:rPr>
            </w:pPr>
            <w:r>
              <w:rPr>
                <w:rFonts w:ascii="Arial" w:cs="Arial" w:eastAsia="Arial" w:hAnsi="Arial"/>
                <w:sz w:val="16"/>
                <w:szCs w:val="16"/>
                <w:color w:val="auto"/>
              </w:rPr>
              <w:t>interest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8,261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3,790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CCIC stockholders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1,520,992</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390,513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90,111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Dividends on preferred stock</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(43,988)</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(43,988)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(11,363)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Net income (loss) attributable to CCIC common stockholders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1,477,004</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346,525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78,748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which are shown separately.</w:t>
      </w:r>
    </w:p>
    <w:p>
      <w:pPr>
        <w:sectPr>
          <w:pgSz w:w="11900" w:h="16838" w:orient="portrait"/>
          <w:cols w:equalWidth="0" w:num="1">
            <w:col w:w="11420"/>
          </w:cols>
          <w:pgMar w:left="240" w:top="121"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30" w:name="page31"/>
    <w:bookmarkEnd w:id="30"/>
    <w:p>
      <w:pPr>
        <w:ind w:left="420"/>
        <w:spacing w:after="0"/>
        <w:rPr>
          <w:sz w:val="20"/>
          <w:szCs w:val="20"/>
          <w:color w:val="auto"/>
        </w:rPr>
      </w:pPr>
      <w:r>
        <w:rPr>
          <w:rFonts w:ascii="Arial" w:cs="Arial" w:eastAsia="Arial" w:hAnsi="Arial"/>
          <w:sz w:val="18"/>
          <w:szCs w:val="18"/>
          <w:i w:val="1"/>
          <w:iCs w:val="1"/>
          <w:color w:val="auto"/>
        </w:rPr>
        <w:t>Results of Operations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determined that presently, following the sale of CCAL, we have one reportable operating segment consisting of our U.S. operations, which is consistent with our current operational and financial reporting structure. Our financial results are currently reported to the chief operating decision maker and the board of directors in this manner.</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Prior to its sale in May 2015, CCAL, our previously 77.6% owned subsidiary that owned and operated towers in Australia, was a reportable segment. As a result of the sale of CCAL, our historical financial statements have been reclassified for all periods presented to include CCAL on a discontinued operations basis. See also </w:t>
      </w:r>
      <w:r>
        <w:rPr>
          <w:rFonts w:ascii="Arial" w:cs="Arial" w:eastAsia="Arial" w:hAnsi="Arial"/>
          <w:sz w:val="18"/>
          <w:szCs w:val="18"/>
          <w:i w:val="1"/>
          <w:iCs w:val="1"/>
          <w:color w:val="auto"/>
        </w:rPr>
        <w:t>"Item 7. MD&amp;A—General Overview—Sale of CCAL."</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will continue our evaluation of our operating segments following the disposition of CCAL, and our change in strategic focus primarily to our U.S. business. To the extent we make changes to our financial reporting or organizational structure, including the integration of the Sunesys Acquisition, we will evaluate any impact such changes may have to our segment reporting.</w:t>
      </w:r>
    </w:p>
    <w:p>
      <w:pPr>
        <w:spacing w:after="0" w:line="12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Our measurement of profit or loss currently used to evaluate our operating performance and operating segments is earnings before interest, taxes, depreciation, amortization and accretion, as adjusted ("Adjusted EBITDA"). Our measure of Adjusted EBITDA may not be comparable to similarly titled measures of other companies, including companies in the tower sector or other similar providers of wireless infrastructure, and is not a measure of performance calculated in accordance with U.S. GAAP. See </w:t>
      </w:r>
      <w:r>
        <w:rPr>
          <w:rFonts w:ascii="Arial" w:cs="Arial" w:eastAsia="Arial" w:hAnsi="Arial"/>
          <w:sz w:val="17"/>
          <w:szCs w:val="17"/>
          <w:i w:val="1"/>
          <w:iCs w:val="1"/>
          <w:color w:val="auto"/>
        </w:rPr>
        <w:t>"Item 2. MD&amp;A—Accounting and Reporting Matters—Non-GAAP Financial Measures"</w:t>
      </w:r>
      <w:r>
        <w:rPr>
          <w:rFonts w:ascii="Arial" w:cs="Arial" w:eastAsia="Arial" w:hAnsi="Arial"/>
          <w:sz w:val="17"/>
          <w:szCs w:val="17"/>
          <w:color w:val="auto"/>
        </w:rPr>
        <w:t xml:space="preserve"> for a discussion of our use of Adjusted EBITDA, including its definition and a reconciliation to net income (loss).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2015 and 2014. </w:t>
      </w:r>
      <w:r>
        <w:rPr>
          <w:rFonts w:ascii="Arial" w:cs="Arial" w:eastAsia="Arial" w:hAnsi="Arial"/>
          <w:sz w:val="18"/>
          <w:szCs w:val="18"/>
          <w:color w:val="auto"/>
        </w:rPr>
        <w:t>See note 4 in our consolidated financial statements for further discussion of the impact of the Sunesys Acquisition.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Net revenues for 2015 increased by $125.1 million, or 4%, from 2014. This increase in net revenues resulted from (1) an increase in site rental revenues of $151.8 million, or 5%, and (2) a decrease in network services and other revenues of $26.7 million, or 4%, in each case as compared to 2014. This increase in site rental revenues was impacted by the following items, inclusive of straight-line accounting, in no particular order: tenant additions across our entire portfolio, renewals or extensions of tenant leases, escalations, construction of new wireless infrastructure including small cells, acquisitions, including the Sunesys Acquisition, and non-renewals of tenant leases, predominately Sprint's decommissioning of its legacy Nextel iDEN network. Tenant additions were influenced by our customers' ongoing efforts to improve network quality and capacity. See also </w:t>
      </w:r>
      <w:r>
        <w:rPr>
          <w:rFonts w:ascii="Arial" w:cs="Arial" w:eastAsia="Arial" w:hAnsi="Arial"/>
          <w:sz w:val="17"/>
          <w:szCs w:val="17"/>
          <w:i w:val="1"/>
          <w:iCs w:val="1"/>
          <w:color w:val="auto"/>
        </w:rPr>
        <w:t>"Item 1. Business—The Company" and "Item 1.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2015 Industry Highlights and Company Developments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Site rental gross margins for 2015 increased by $94.1 million, or 5%, from 2014. The increase in the site rental gross margins was related to the previously mentioned 5% increase in site rental revenues.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Network services and other revenues for 2015 decreased $26.7 million, or 4%, from 2014, and is a reflection of (1) the volume of activity from carrier network enhancements and (2) the volume and mix of network services and other work. Our network services offering is of a variable nature as these revenues are not under long-term contracts. Network services and other gross margin for 2015 increased by $16.2 million, or 6%, from 2014, and is a reflection of changes in the volume and mix of network services and other work.</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for 2015 increased by $53.6 million, or 21%, from 2014 and represented 8% of net revenues in 2015 and 7% of net revenues in 2014. General and administrative expenses are inclusive of stock-based compensation charges. See also note 13 to our consolidated financial statements. The increase in general and administrative expenses was related to the growth in our business, including the expansion in size of our wireless infrastructure portfolio primarily due to acquisitions and growth in small cells.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EBITDA for 2015 increased by $67.9 million, or 3%, from 2014. Adjusted EBITDA was positively impacted by the growth in our site rental activities, partially offset by the aforementioned increase in general and administrative expenses.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amortization, and accretion for 2015 increased by $50.4 million, or 5%, from 2014. This increase predominately resulted from capital expenditures and acquisitions, including the Sunesys Acquisition.</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decreased by $46.2 million, or 8%, from 2014 to 2015, primarily as a result of a $44.4 million decrease in the amortization of previously settled interest rate swaps.</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 xml:space="preserve">As a result of repaying and redeeming certain of our debt, we incurred net losses of $4.2 million and $44.6 million for 2015 and 2014, respectively. For a further discussion of the debt refinancings, see note 8 to our consolidated financial statements, </w:t>
      </w:r>
      <w:r>
        <w:rPr>
          <w:rFonts w:ascii="Arial" w:cs="Arial" w:eastAsia="Arial" w:hAnsi="Arial"/>
          <w:sz w:val="18"/>
          <w:szCs w:val="18"/>
          <w:i w:val="1"/>
          <w:iCs w:val="1"/>
          <w:color w:val="auto"/>
        </w:rPr>
        <w:t>"Item 7. MD&amp;A—Liquidity and Capital Resources"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7A. Quantitative and Qualitative Disclosures About Market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65" w:right="239" w:bottom="1440" w:gutter="0" w:footer="0" w:header="0"/>
        </w:sectPr>
      </w:pPr>
    </w:p>
    <w:bookmarkStart w:id="31" w:name="page32"/>
    <w:bookmarkEnd w:id="31"/>
    <w:p>
      <w:pPr>
        <w:jc w:val="both"/>
        <w:ind w:firstLine="405"/>
        <w:spacing w:after="0" w:line="277" w:lineRule="auto"/>
        <w:rPr>
          <w:sz w:val="20"/>
          <w:szCs w:val="20"/>
          <w:color w:val="auto"/>
        </w:rPr>
      </w:pPr>
      <w:r>
        <w:rPr>
          <w:rFonts w:ascii="Arial" w:cs="Arial" w:eastAsia="Arial" w:hAnsi="Arial"/>
          <w:sz w:val="18"/>
          <w:szCs w:val="18"/>
          <w:color w:val="auto"/>
        </w:rPr>
        <w:t>Our acquisition and integration expenses for 2014 were $34.1 million and were related to our 2012 and 2013 acquisitions. See notes 1 and 4 to our consolidated financial statements.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(expense) for 2015 was income of $57.0 million, compared to income of $12.0 million for 2014. This change was predominately a result of gains recorded during 2015 on foreign currency swaps that we entered into to manage and reduce our foreign currency risk related to our May 2015 sale of CCAL. See note 9 to our consolidated financial statements.</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The benefit (provision) for income taxes for 2015 was a benefit of $51.5 million compared to a benefit of $11.2 million for 2014. For 2015, the effective tax rate differed from the federal statutory rate predominately due to (1) our REIT status, including the dividends paid deduction, and (2) the de-recognition of net deferred tax liabilities related to the inclusion of small cells in the REIT in January 2016, which resulted in a non-cash income tax benefit of $33.8 million. For 2014, the effective tax rate differed from the federal statutory rate predominately due to our REIT status, including the dividends paid deduction. See </w:t>
      </w:r>
      <w:r>
        <w:rPr>
          <w:rFonts w:ascii="Arial" w:cs="Arial" w:eastAsia="Arial" w:hAnsi="Arial"/>
          <w:sz w:val="16"/>
          <w:szCs w:val="16"/>
          <w:i w:val="1"/>
          <w:iCs w:val="1"/>
          <w:color w:val="auto"/>
        </w:rPr>
        <w:t>"Item 7. MD&amp;A—Accounting and Reporting Matters—Critical Accounting Policies and Estimates"</w:t>
      </w:r>
      <w:r>
        <w:rPr>
          <w:rFonts w:ascii="Arial" w:cs="Arial" w:eastAsia="Arial" w:hAnsi="Arial"/>
          <w:sz w:val="16"/>
          <w:szCs w:val="16"/>
          <w:color w:val="auto"/>
        </w:rPr>
        <w:t xml:space="preserve"> and note 11 to our consolidated financial statements.</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Income from discontinued operations, net of tax, decreased from 2014 to 2015 due to the sale of CCAL occurring mid-period on May 28, 2015. In addition, during 2015, we recorded a gain on the sale of discontinued operations, net of tax, of $1.0 billion.</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(loss) attributable to CCIC stockholders for 2015 was income of $1.5 billion compared to income of $390.5 million for 2014. The increase in net income was predominately due to a the gain recorded on the sale of CCAL.</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2014 and 2013. </w:t>
      </w:r>
      <w:r>
        <w:rPr>
          <w:rFonts w:ascii="Arial" w:cs="Arial" w:eastAsia="Arial" w:hAnsi="Arial"/>
          <w:sz w:val="18"/>
          <w:szCs w:val="18"/>
          <w:color w:val="auto"/>
        </w:rPr>
        <w:t>See note 4 to our consolidated financial statements for further discussion of the impact of the the AT&amp;T Acquisition.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Net revenues for 2014 increased by $673.0 million, or 23%, from 2013. This increase in net revenues resulted from an increase in (1) site rental revenues of $495.2 million, or 21%, and (2) network services and other revenues of $177.8 million, or 36%, in each case as compared to 2013. The AT&amp;T Acquisition increased our site rental revenues for 2014 compared to 2013. See note 4 to our consolidated financial statements. This increase in site rental revenues was also impacted by the following items, inclusive of straight-line accounting, in no particular order: tenant additions across our entire portfolio, renewals or extensions of tenant leases, escalations, construction of new wireless infrastructure, other acquisitions, and non-renewals of tenant leases. Tenant additions were influenced by our customers' upgrading to long-term evolution ("LTE") networks and their ongoing efforts to improve network quality and capacity. See also </w:t>
      </w:r>
      <w:r>
        <w:rPr>
          <w:rFonts w:ascii="Arial" w:cs="Arial" w:eastAsia="Arial" w:hAnsi="Arial"/>
          <w:sz w:val="18"/>
          <w:szCs w:val="18"/>
          <w:i w:val="1"/>
          <w:iCs w:val="1"/>
          <w:color w:val="auto"/>
        </w:rPr>
        <w:t>"Item 1. Business—The Company."</w:t>
      </w:r>
    </w:p>
    <w:p>
      <w:pPr>
        <w:spacing w:after="0" w:line="1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Site rental gross margins for 2014 increased by $276.0 million, or 16%, from 2013. The increase in site rental gross margins was related to the previously mentioned 21%, increase in site rental revenues, primarily as a result of the AT&amp;T Acquisition (which had lower initial margins due to lower average tenancy that the average tenancy for our other wireless infrastructure) and the growth in our site rental activities.</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Network services and other revenues for 2014 increased $177.8 million, or 36%, from 2013, and is a reflection of (1) the volume of activity from carrier network enhancements such as LTE upgrades, (2) changes in volume and mix, and (3) the expansion in size of our wireless infrastructure portfolio due to the T-Mobile Acquisition and AT&amp;T Acquisition. Our network services offering is of a variable nature as these revenues are not under long-term contracts. Network services and other gross margin for 2014 increased by $81.5 million, or 43%, from 2013, primarily as a result of the previously mentioned factors that increased network services and other revenues.</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General and administrative expenses for 2014 increased by $43.8 million, or 21%, from 2013 and represented 7% of net revenues in both 2014 and 2013. General and administrative expenses are inclusive of stock-based compensation charges. See also note 13 to our consolidated financial statements. The increase in general and administrative expenses in nominal dollars was commensurate with the growth in our business, including (1) the expansion in size of our wireless infrastructure portfolio primarily due to acquisitions and (2) the growth in network services. Typically, our general and administrative expenses do not significantly increase as a result of tenant additions on our existing wireless infrastructure.</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EBITDA for 2014 increased by $335.5 million, or 20%, from 2013. Adjusted EBITDA was positively impacted by the AT&amp;T Acquisition and the growth in our site rental and network services activities.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amortization, and accretion for 2014 increased by $244.4 million, or 33%, from 2013. The increase predominately resulted from the fixed asset and intangible asset additions recorded related to the AT&amp;T Acquisition.</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expense and amortization of deferred financing costs decreased $16.3 million, or 3%, from 2013 to 2014, as a result of our refinancing activities, partially offset by additional borrowings under the 2012 Credit Facility to partially fund the AT&amp;T Acquisition. During 2014, we issued $850.0 million of 4.875% senior notes, which provided us with funding to (1) repay $300.0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7" w:right="239" w:bottom="1440" w:gutter="0" w:footer="0" w:header="0"/>
        </w:sectPr>
      </w:pPr>
    </w:p>
    <w:bookmarkStart w:id="32" w:name="page33"/>
    <w:bookmarkEnd w:id="32"/>
    <w:p>
      <w:pPr>
        <w:jc w:val="both"/>
        <w:spacing w:after="0" w:line="276" w:lineRule="auto"/>
        <w:rPr>
          <w:sz w:val="20"/>
          <w:szCs w:val="20"/>
          <w:color w:val="auto"/>
        </w:rPr>
      </w:pPr>
      <w:r>
        <w:rPr>
          <w:rFonts w:ascii="Arial" w:cs="Arial" w:eastAsia="Arial" w:hAnsi="Arial"/>
          <w:sz w:val="17"/>
          <w:szCs w:val="17"/>
          <w:color w:val="auto"/>
        </w:rPr>
        <w:t xml:space="preserve">million of the January 2010 tower revenue notes and (2) redeem all of the previously outstanding 7.125% senior notes. In 2013 and 2014, we completed several debt transactions, resulting in (1) lowering our average cost of debt, (2) funding for our acquisitions, (3) the refinancing of certain of our debt, and (4) the extension of certain of our debt maturities. As a result of repaying and redeeming certain of our debt, we incurred net losses of $44.6 million and $37.1 million for 2014 and 2013, respectively. For a further discussion of the debt refinancings, see note 8 to our consolidated financial statements, </w:t>
      </w:r>
      <w:r>
        <w:rPr>
          <w:rFonts w:ascii="Arial" w:cs="Arial" w:eastAsia="Arial" w:hAnsi="Arial"/>
          <w:sz w:val="17"/>
          <w:szCs w:val="17"/>
          <w:i w:val="1"/>
          <w:iCs w:val="1"/>
          <w:color w:val="auto"/>
        </w:rPr>
        <w:t>"Item 7. MD&amp;A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and</w:t>
      </w:r>
      <w:r>
        <w:rPr>
          <w:rFonts w:ascii="Arial" w:cs="Arial" w:eastAsia="Arial" w:hAnsi="Arial"/>
          <w:sz w:val="17"/>
          <w:szCs w:val="17"/>
          <w:i w:val="1"/>
          <w:iCs w:val="1"/>
          <w:color w:val="auto"/>
        </w:rPr>
        <w:t xml:space="preserve"> "Item 7A. Quantitative and Qualitative Disclosures About Market Risk."</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acquisition and integration expenses for 2014 and 2013 were $34.1 million and $25.6 million, respectively, and related to our 2012 and 2013 acquisitions. See note 4 to our consolidated financial statements.</w:t>
      </w:r>
    </w:p>
    <w:p>
      <w:pPr>
        <w:spacing w:after="0" w:line="116"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 xml:space="preserve">The benefit (provision) for income taxes for 2014 was a benefit of $11.2 million compared to a provision of $191.0 million for 2013. For 2014, the effective tax rate differed from the federal statutory rate predominately due to our REIT status, including the dividends paid deduction. For 2013, the effective tax rate differed from the federal statutory rate predominately due to the de-recognition of deferred tax assets and liabilities related to our REIT election resulting in a non-cash income tax charge of $67.4 million. See </w:t>
      </w:r>
      <w:r>
        <w:rPr>
          <w:rFonts w:ascii="Arial" w:cs="Arial" w:eastAsia="Arial" w:hAnsi="Arial"/>
          <w:sz w:val="18"/>
          <w:szCs w:val="18"/>
          <w:i w:val="1"/>
          <w:iCs w:val="1"/>
          <w:color w:val="auto"/>
        </w:rPr>
        <w:t>"Item 7. MD&amp;A—Accounting and Reporting Matters—Critical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Estimates" </w:t>
      </w:r>
      <w:r>
        <w:rPr>
          <w:rFonts w:ascii="Arial" w:cs="Arial" w:eastAsia="Arial" w:hAnsi="Arial"/>
          <w:sz w:val="18"/>
          <w:szCs w:val="18"/>
          <w:color w:val="auto"/>
        </w:rPr>
        <w:t>and note 11 to our consolidated financial statements.</w:t>
      </w:r>
    </w:p>
    <w:p>
      <w:pPr>
        <w:spacing w:after="0" w:line="13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Net income (loss) attributable to CCIC stockholders for 2014 was income of $390.5 million compared to income of $90.1 million for 2013. The increase in net income was predominately due to a change in our benefit (provision) for income taxes due to our REIT status as further discussed herein.</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Dividends on preferred stock for 2014 and 2013 represented the dividends related to our Convertible Preferred Stock.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core business generates revenues under long-term leases (see</w:t>
      </w:r>
      <w:r>
        <w:rPr>
          <w:rFonts w:ascii="Arial" w:cs="Arial" w:eastAsia="Arial" w:hAnsi="Arial"/>
          <w:sz w:val="16"/>
          <w:szCs w:val="16"/>
          <w:i w:val="1"/>
          <w:iCs w:val="1"/>
          <w:color w:val="auto"/>
        </w:rPr>
        <w:t xml:space="preserve"> "Item 7. MD&amp;A—General Overview—Overview"</w:t>
      </w:r>
      <w:r>
        <w:rPr>
          <w:rFonts w:ascii="Arial" w:cs="Arial" w:eastAsia="Arial" w:hAnsi="Arial"/>
          <w:sz w:val="16"/>
          <w:szCs w:val="16"/>
          <w:color w:val="auto"/>
        </w:rPr>
        <w:t>) predominately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largest U.S. wireless carriers. Our strategy is to create long-term stockholder value via a combination of (1) growing cash flows generated from our portfolio of wireless infrastructure, (2) returning a meaningful portion of our cash provided by operating activities to our stockholders in the form of dividends and (3) investing capital efficiently to grow cash flows and long-term dividends per share. We measure our efforts to create "long-term stockholder value" by the combined payment of dividends to stockholders and growth in our per share results. See </w:t>
      </w:r>
      <w:r>
        <w:rPr>
          <w:rFonts w:ascii="Arial" w:cs="Arial" w:eastAsia="Arial" w:hAnsi="Arial"/>
          <w:sz w:val="16"/>
          <w:szCs w:val="16"/>
          <w:i w:val="1"/>
          <w:iCs w:val="1"/>
          <w:color w:val="auto"/>
        </w:rPr>
        <w:t>"Item 1. Business—Strategy"</w:t>
      </w:r>
      <w:r>
        <w:rPr>
          <w:rFonts w:ascii="Arial" w:cs="Arial" w:eastAsia="Arial" w:hAnsi="Arial"/>
          <w:sz w:val="16"/>
          <w:szCs w:val="16"/>
          <w:color w:val="auto"/>
        </w:rPr>
        <w:t xml:space="preserve"> for a further discussion of our strategy.</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have and expect to continue to engage in discretionary investments that we believe will maximize long-term stockholder value. Our historical discretionary investments include (in no particular order): purchasing our common stock, acquiring or constructing wireless infrastructure, acquiring land interests under towers, improving and structurally enhancing our existing wireless infrastructure, and purchasing, repaying, or redeeming our debt. Based on recent small cell activity, we expect to spend an increased percentage of our discretionary investments on the construction of new small cell networks. We seek to fund our discretionary investments with both net cash provided by operating activities and cash available from financing capacity, such as the use of our undrawn availability from the 2016 Revolver, debt financings and issuances of equity or equity related securities.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seek to maintain a capital structure that we believe drives long-term stockholder value and optimizes our weighted-average cost of capital. We target a leverage ratio of approximately four to five times Adjusted EBITDA and interest coverage of approximately three times Adjusted EBITDA, subject to various factors such as the availability and cost of capital and the potential long-term return on our discretionary investments. We may choose to increase or decrease our leverage or coverage from these targets for various periods of time.</w:t>
      </w:r>
    </w:p>
    <w:p>
      <w:pPr>
        <w:spacing w:after="0" w:line="13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 xml:space="preserve">Effective January 1, 2014, we commenced operating as a REIT for U.S. federal income tax purposes. We expect to continue to pay minimal cash income taxes as a result of our REIT status and our NOLs. See </w:t>
      </w:r>
      <w:r>
        <w:rPr>
          <w:rFonts w:ascii="Arial" w:cs="Arial" w:eastAsia="Arial" w:hAnsi="Arial"/>
          <w:sz w:val="18"/>
          <w:szCs w:val="18"/>
          <w:i w:val="1"/>
          <w:iCs w:val="1"/>
          <w:color w:val="auto"/>
        </w:rPr>
        <w:t>"Item 1. Business—2015 Industry Highlights and Company Developments—REIT Election,"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7. MD&amp;A—General Overview" </w:t>
      </w:r>
      <w:r>
        <w:rPr>
          <w:rFonts w:ascii="Arial" w:cs="Arial" w:eastAsia="Arial" w:hAnsi="Arial"/>
          <w:sz w:val="18"/>
          <w:szCs w:val="18"/>
          <w:color w:val="auto"/>
        </w:rPr>
        <w:t>and note 11 to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7" w:right="239" w:bottom="1440" w:gutter="0" w:footer="0" w:header="0"/>
        </w:sectPr>
      </w:pPr>
    </w:p>
    <w:bookmarkStart w:id="33" w:name="page34"/>
    <w:bookmarkEnd w:id="33"/>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See</w:t>
      </w:r>
      <w:r>
        <w:rPr>
          <w:rFonts w:ascii="Arial" w:cs="Arial" w:eastAsia="Arial" w:hAnsi="Arial"/>
          <w:sz w:val="18"/>
          <w:szCs w:val="18"/>
          <w:i w:val="1"/>
          <w:iCs w:val="1"/>
          <w:color w:val="auto"/>
        </w:rPr>
        <w:t xml:space="preserve"> "Item 7A. Quantitative and Qualitative Disclosures About Market Risk" </w:t>
      </w:r>
      <w:r>
        <w:rPr>
          <w:rFonts w:ascii="Arial" w:cs="Arial" w:eastAsia="Arial" w:hAnsi="Arial"/>
          <w:sz w:val="18"/>
          <w:szCs w:val="18"/>
          <w:color w:val="auto"/>
        </w:rPr>
        <w:t>and note 8 to our consolidated financial statements for additional information regarding our debt.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As of December 31, 2015</w:t>
            </w:r>
          </w:p>
        </w:tc>
      </w:tr>
      <w:tr>
        <w:trPr>
          <w:trHeight w:val="196"/>
        </w:trPr>
        <w:tc>
          <w:tcPr>
            <w:tcW w:w="8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Actual</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8"/>
                <w:szCs w:val="8"/>
                <w:b w:val="1"/>
                <w:bCs w:val="1"/>
                <w:color w:val="auto"/>
              </w:rPr>
              <w:t>(c)</w:t>
            </w:r>
          </w:p>
        </w:tc>
      </w:tr>
      <w:tr>
        <w:trPr>
          <w:trHeight w:val="190"/>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 of dollars)</w:t>
            </w:r>
          </w:p>
        </w:tc>
      </w:tr>
      <w:tr>
        <w:trPr>
          <w:trHeight w:val="269"/>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(a)</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178,810</w:t>
            </w:r>
          </w:p>
        </w:tc>
        <w:tc>
          <w:tcPr>
            <w:tcW w:w="30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119,789</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Undrawn revolving credit facility availability</w:t>
            </w:r>
            <w:r>
              <w:rPr>
                <w:rFonts w:ascii="Arial" w:cs="Arial" w:eastAsia="Arial" w:hAnsi="Arial"/>
                <w:sz w:val="21"/>
                <w:szCs w:val="21"/>
                <w:color w:val="auto"/>
                <w:vertAlign w:val="superscript"/>
              </w:rPr>
              <w:t>(b)</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1,205,000</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2,145,000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135,731</w:t>
            </w:r>
          </w:p>
        </w:tc>
        <w:tc>
          <w:tcPr>
            <w:tcW w:w="30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135,731</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other long-term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12,249,238</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12,099,749</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7,089,221</w:t>
            </w:r>
          </w:p>
        </w:tc>
        <w:tc>
          <w:tcPr>
            <w:tcW w:w="30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7,058,691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106680</wp:posOffset>
            </wp:positionV>
            <wp:extent cx="91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Exclusive of restricted cash.</w:t>
      </w:r>
    </w:p>
    <w:p>
      <w:pPr>
        <w:spacing w:after="0" w:line="13"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Availability at any point in time is subject to reaffirmation of the representations and warranties in, and there being no default under, our credit agreement. See </w:t>
      </w:r>
      <w:r>
        <w:rPr>
          <w:rFonts w:ascii="Arial" w:cs="Arial" w:eastAsia="Arial" w:hAnsi="Arial"/>
          <w:sz w:val="14"/>
          <w:szCs w:val="14"/>
          <w:i w:val="1"/>
          <w:iCs w:val="1"/>
          <w:color w:val="auto"/>
        </w:rPr>
        <w:t>"Item 7. MD&amp;A—Liquidity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Capital Resources—Financing Activities" </w:t>
      </w:r>
      <w:r>
        <w:rPr>
          <w:rFonts w:ascii="Arial" w:cs="Arial" w:eastAsia="Arial" w:hAnsi="Arial"/>
          <w:sz w:val="14"/>
          <w:szCs w:val="14"/>
          <w:color w:val="auto"/>
        </w:rPr>
        <w:t>and</w:t>
      </w:r>
      <w:r>
        <w:rPr>
          <w:rFonts w:ascii="Arial" w:cs="Arial" w:eastAsia="Arial" w:hAnsi="Arial"/>
          <w:sz w:val="14"/>
          <w:szCs w:val="14"/>
          <w:i w:val="1"/>
          <w:iCs w:val="1"/>
          <w:color w:val="auto"/>
        </w:rPr>
        <w:t xml:space="preserve"> "Item 7. MD&amp;A—Liquidity and Capital Resources—Debt Covenants."</w:t>
      </w:r>
    </w:p>
    <w:p>
      <w:pPr>
        <w:ind w:left="340" w:right="20" w:hanging="332"/>
        <w:spacing w:after="0" w:line="255"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represent the Company's capitalization and liquidity position as of December 31, 2015, after giving effect to the receipt of the installment payment from the sale of CCAL in January 2016 and our 2016 Refinancings.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71" w:lineRule="exact"/>
        <w:rPr>
          <w:sz w:val="20"/>
          <w:szCs w:val="20"/>
          <w:color w:val="auto"/>
        </w:rPr>
      </w:pPr>
    </w:p>
    <w:p>
      <w:pPr>
        <w:jc w:val="both"/>
        <w:ind w:left="660" w:hanging="247"/>
        <w:spacing w:after="0" w:line="25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liquidity sources may include (1) cash on hand, (2) net cash provided by operating activities (net of cash interest payments), (3) undrawn availability from our 2016 Revolver, and (4) issuances of equity pursuant to our ATM Program. Our liquidity uses over the next 12 months are expected to include (1) debt service obligations of approximately $89 million (principal payments), (2) common stock dividend payments expected to be $3.54 per share, or an aggregate of approximately $1.2 billion, subject to future approval by our board of directors (see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Overview—Common Stock Dividend"</w:t>
      </w:r>
      <w:r>
        <w:rPr>
          <w:rFonts w:ascii="Arial" w:cs="Arial" w:eastAsia="Arial" w:hAnsi="Arial"/>
          <w:sz w:val="18"/>
          <w:szCs w:val="18"/>
          <w:color w:val="auto"/>
        </w:rPr>
        <w:t>), (3) Convertible Preferred Stock dividend payments of approximately $45 million, and (4) sustaining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discretionary capital expenditures (expected to be equal to or greater than current levels). During the next 12 months, we expect that our liquidity sources should be sufficient to cover our expected uses. As CCIC is a holding company, this cash flow from operations is generated by our operating subsidiaries.</w:t>
      </w:r>
    </w:p>
    <w:p>
      <w:pPr>
        <w:spacing w:after="0" w:line="4"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We have no scheduled contractual debt maturities other than principal payments on amortizing debt. See </w:t>
      </w:r>
      <w:r>
        <w:rPr>
          <w:rFonts w:ascii="Arial" w:cs="Arial" w:eastAsia="Arial" w:hAnsi="Arial"/>
          <w:sz w:val="18"/>
          <w:szCs w:val="18"/>
          <w:i w:val="1"/>
          <w:iCs w:val="1"/>
          <w:color w:val="auto"/>
        </w:rPr>
        <w:t>"Item 7A.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for a tabular presentation of our debt maturities as of December 31, 2015 and a discussion of anticipated 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dates.</w:t>
      </w:r>
    </w:p>
    <w:p>
      <w:pPr>
        <w:sectPr>
          <w:pgSz w:w="11900" w:h="16838" w:orient="portrait"/>
          <w:cols w:equalWidth="0" w:num="1">
            <w:col w:w="11420"/>
          </w:cols>
          <w:pgMar w:left="240" w:top="287" w:right="239" w:bottom="1440" w:gutter="0" w:footer="0" w:header="0"/>
        </w:sectPr>
      </w:pP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377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for):</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29146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cash and cash equivalents - continuing operations</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Discontinued operations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377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provided by (used for) operating activities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cash and cash equivalents - discontinued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74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2013</w:t>
            </w:r>
          </w:p>
        </w:tc>
      </w:tr>
      <w:tr>
        <w:trPr>
          <w:trHeight w:val="190"/>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(In thousands of dollars)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19"/>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1,794,025</w:t>
            </w:r>
          </w:p>
        </w:tc>
        <w:tc>
          <w:tcPr>
            <w:tcW w:w="46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1,600,197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1,171,059</w:t>
            </w:r>
          </w:p>
        </w:tc>
      </w:tr>
      <w:tr>
        <w:trPr>
          <w:trHeight w:val="270"/>
        </w:trPr>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(1,959,734)</w:t>
            </w:r>
          </w:p>
        </w:tc>
        <w:tc>
          <w:tcPr>
            <w:tcW w:w="460" w:type="dxa"/>
            <w:vAlign w:val="bottom"/>
          </w:tcPr>
          <w:p>
            <w:pPr>
              <w:spacing w:after="0"/>
              <w:rPr>
                <w:sz w:val="23"/>
                <w:szCs w:val="23"/>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(1,216,709)</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(5,459,285)</w:t>
            </w:r>
          </w:p>
        </w:tc>
      </w:tr>
      <w:tr>
        <w:trPr>
          <w:trHeight w:val="270"/>
        </w:trPr>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(935,476)</w:t>
            </w:r>
          </w:p>
        </w:tc>
        <w:tc>
          <w:tcPr>
            <w:tcW w:w="460" w:type="dxa"/>
            <w:vAlign w:val="bottom"/>
          </w:tcPr>
          <w:p>
            <w:pPr>
              <w:spacing w:after="0"/>
              <w:rPr>
                <w:sz w:val="23"/>
                <w:szCs w:val="23"/>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(462,987)</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4,063,133</w:t>
            </w:r>
          </w:p>
        </w:tc>
      </w:tr>
      <w:tr>
        <w:trPr>
          <w:trHeight w:val="33"/>
        </w:trPr>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93"/>
        </w:trPr>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(1,101,185)</w:t>
            </w:r>
          </w:p>
        </w:tc>
        <w:tc>
          <w:tcPr>
            <w:tcW w:w="46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(79,499)</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(225,093)</w:t>
            </w:r>
          </w:p>
        </w:tc>
      </w:tr>
      <w:tr>
        <w:trPr>
          <w:trHeight w:val="33"/>
        </w:trPr>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8"/>
        </w:trPr>
        <w:tc>
          <w:tcPr>
            <w:tcW w:w="34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2,700</w:t>
            </w:r>
          </w:p>
        </w:tc>
        <w:tc>
          <w:tcPr>
            <w:tcW w:w="46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65,933</w:t>
            </w:r>
          </w:p>
        </w:tc>
        <w:tc>
          <w:tcPr>
            <w:tcW w:w="3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66,597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1,103,577</w:t>
            </w:r>
          </w:p>
        </w:tc>
        <w:tc>
          <w:tcPr>
            <w:tcW w:w="460" w:type="dxa"/>
            <w:vAlign w:val="bottom"/>
          </w:tcPr>
          <w:p>
            <w:pPr>
              <w:spacing w:after="0"/>
              <w:rPr>
                <w:sz w:val="23"/>
                <w:szCs w:val="23"/>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(26,196)</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(61,684)</w:t>
            </w:r>
          </w:p>
        </w:tc>
      </w:tr>
      <w:tr>
        <w:trPr>
          <w:trHeight w:val="33"/>
        </w:trPr>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1,106,277</w:t>
            </w:r>
          </w:p>
        </w:tc>
        <w:tc>
          <w:tcPr>
            <w:tcW w:w="4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39,737</w:t>
            </w: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4,913</w:t>
            </w:r>
          </w:p>
        </w:tc>
      </w:tr>
      <w:tr>
        <w:trPr>
          <w:trHeight w:val="33"/>
        </w:trPr>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360" w:space="720"/>
            <w:col w:w="4340"/>
          </w:cols>
          <w:pgMar w:left="240" w:top="287" w:right="239" w:bottom="1440" w:gutter="0" w:footer="0" w:header="0"/>
          <w:type w:val="continuous"/>
        </w:sect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increase in net cash provided by operating activities for 2015 from 2014 was due primarily to growth in our core business, including a net benefit from changes in working capital. The increase in net cash provided by operating activities for 2014 from 2013 was due primarily to (1) the AT&amp;T Acquisition, (2) growth in our core business and net benefit from changes in working capital, and (3) growth in our network services. Changes in working capital (including changes in accounts receivable, deferred site rental receivables, deferred rental revenues, prepaid ground leases, restricted cash, and accrued interest) can have a significant impact on net cash provided by operating activities, largely due to the timing of prepayments and receipts. We expect to grow our net cash provided by operating activities in the future (exclusive of movements in working capital) if we realize expected growth in our core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7" w:right="239" w:bottom="1440" w:gutter="0" w:footer="0" w:header="0"/>
          <w:type w:val="continuous"/>
        </w:sectPr>
      </w:pPr>
    </w:p>
    <w:bookmarkStart w:id="34" w:name="page35"/>
    <w:bookmarkEnd w:id="34"/>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are categorized as discretionary or sustaining, as described below.</w:t>
      </w:r>
    </w:p>
    <w:p>
      <w:pPr>
        <w:spacing w:after="0" w:line="171" w:lineRule="exact"/>
        <w:rPr>
          <w:sz w:val="20"/>
          <w:szCs w:val="20"/>
          <w:color w:val="auto"/>
        </w:rPr>
      </w:pPr>
    </w:p>
    <w:p>
      <w:pPr>
        <w:jc w:val="both"/>
        <w:ind w:left="660" w:hanging="247"/>
        <w:spacing w:after="0" w:line="28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Discretionary capital expenditures are those capital expenditures made with respect to activities which we believe exhibit sufficient potential to enhance long-term stockholder value. They consist of improvements to existing wireless infrastructure, construction of new wireless infrastructure, and, to a lesser extent, purchases of land assets under towers as we seek to manage our interests in the land beneath our towers. Improvements to existing wireless infrastructure to accommodate tenant additions typically vary based on, among other factors: (1) the type of wireless infrastructure,</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9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scope, volume, and mix of work performed on the wireless infrastructure, (3) existing capacity prior to installation, or (4) changes in structural engineering regulations and standards. Our decisions regarding capital expenditures are influenced by the availability and cost of capital and expected returns on alternative uses of cash, such as payments of dividends and investments.</w:t>
      </w:r>
    </w:p>
    <w:p>
      <w:pPr>
        <w:spacing w:after="0" w:line="13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Sustaining capital expenditures consist of (1) corporate-related capital improvements and (2) maintenance on our wireless infrastructure assets that enable our customers' ongoing quiet enjoyment of the wireless infrastructure.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capital expenditures for the last three years is as follows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118110</wp:posOffset>
            </wp:positionV>
            <wp:extent cx="5711190" cy="3996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1190"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Discretionary capital expenditures increased from 2014 to 2015 primarily as a result of (1) improvements to existing wireless infrastructure to accommodate new leasing and (2) the construction of new small cells. Our sustaining capital expenditures have historically been less than 2% of net revenues annually and were approximately 3% of net revenues in 2015 due to expansion of our office facilities. See </w:t>
      </w:r>
      <w:r>
        <w:rPr>
          <w:rFonts w:ascii="Arial" w:cs="Arial" w:eastAsia="Arial" w:hAnsi="Arial"/>
          <w:sz w:val="18"/>
          <w:szCs w:val="18"/>
          <w:i w:val="1"/>
          <w:iCs w:val="1"/>
          <w:color w:val="auto"/>
        </w:rPr>
        <w:t>"Item 7. MD&amp;A—General Overview—Outlook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Highlights" </w:t>
      </w:r>
      <w:r>
        <w:rPr>
          <w:rFonts w:ascii="Arial" w:cs="Arial" w:eastAsia="Arial" w:hAnsi="Arial"/>
          <w:sz w:val="18"/>
          <w:szCs w:val="18"/>
          <w:color w:val="auto"/>
        </w:rPr>
        <w:t>for a discussion of our expectations surrounding 2016 capital expenditures.</w:t>
      </w:r>
    </w:p>
    <w:p>
      <w:pPr>
        <w:spacing w:after="0" w:line="133" w:lineRule="exact"/>
        <w:rPr>
          <w:sz w:val="20"/>
          <w:szCs w:val="20"/>
          <w:color w:val="auto"/>
        </w:rPr>
      </w:pPr>
    </w:p>
    <w:p>
      <w:pPr>
        <w:ind w:left="60" w:firstLine="405"/>
        <w:spacing w:after="0" w:line="277" w:lineRule="auto"/>
        <w:rPr>
          <w:sz w:val="20"/>
          <w:szCs w:val="20"/>
          <w:color w:val="auto"/>
        </w:rPr>
      </w:pPr>
      <w:r>
        <w:rPr>
          <w:rFonts w:ascii="Arial" w:cs="Arial" w:eastAsia="Arial" w:hAnsi="Arial"/>
          <w:sz w:val="18"/>
          <w:szCs w:val="18"/>
          <w:i w:val="1"/>
          <w:iCs w:val="1"/>
          <w:color w:val="auto"/>
        </w:rPr>
        <w:t xml:space="preserve">Sale of CCAL. </w:t>
      </w:r>
      <w:r>
        <w:rPr>
          <w:rFonts w:ascii="Arial" w:cs="Arial" w:eastAsia="Arial" w:hAnsi="Arial"/>
          <w:sz w:val="18"/>
          <w:szCs w:val="18"/>
          <w:color w:val="auto"/>
        </w:rPr>
        <w:t>See note 3 to our consolidated financial statements for a discussion of our May 2015 sale of CCAL, our previously 77.6% owned</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Australian subsidiary.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7" w:right="239" w:bottom="1440" w:gutter="0" w:footer="0" w:header="0"/>
        </w:sectPr>
      </w:pPr>
    </w:p>
    <w:bookmarkStart w:id="35" w:name="page36"/>
    <w:bookmarkEnd w:id="35"/>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Foreign Currency Swaps. </w:t>
      </w:r>
      <w:r>
        <w:rPr>
          <w:rFonts w:ascii="Arial" w:cs="Arial" w:eastAsia="Arial" w:hAnsi="Arial"/>
          <w:sz w:val="18"/>
          <w:szCs w:val="18"/>
          <w:color w:val="auto"/>
        </w:rPr>
        <w:t>During May 2015, in conjunction with our sale of CCAL, we entered into foreign currency swaps to manage and reduce our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risk associated with the sale of CCAL. See note 9 to our consolidated financial statements.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Acquisitions consist of the acquisition of businesses such as towers and small cells, including fiber portfolios. See notes 4 and 6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for a discussion of the 2015 Sunesys Acquisition, 2014 Land Acquisitions, and 2013 AT&amp;T Acquisition.</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seek to allocate cash generated by our operations in a manner that will enhance long-term stockholder value, which may include various financing activities, such as (in no particular order) paying dividends on our common stock (currently expected to total an aggregate of approximately $1.2 billion during the next 12 months, subject to future approval by our board of directors), paying dividends on our Convertible Preferred Stock (expected to be approximately $45 million in 2016), purchasing our common stock, or purchasing, repaying, or redeeming our debt. See note 12 to our consolidated financial statements.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2014, our financing activities predominately related to (1) paying an aggregate of $624.3 million in dividends on our common stock, (2) amending our previously outstanding 2012 Credit Facility and (3) issuing $850.0 million of 4.875% senior notes, due in April 2022, which provided us with funding to repay $300.0 million of January 2010 tower revenue notes and redeem all of the previously outstanding 7.125% senior notes. See </w:t>
      </w:r>
      <w:r>
        <w:rPr>
          <w:rFonts w:ascii="Arial" w:cs="Arial" w:eastAsia="Arial" w:hAnsi="Arial"/>
          <w:sz w:val="18"/>
          <w:szCs w:val="18"/>
          <w:i w:val="1"/>
          <w:iCs w:val="1"/>
          <w:color w:val="auto"/>
        </w:rPr>
        <w:t>"Item 7. MD&amp;A—Liquidity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Capital Resources—Overview" </w:t>
      </w:r>
      <w:r>
        <w:rPr>
          <w:rFonts w:ascii="Arial" w:cs="Arial" w:eastAsia="Arial" w:hAnsi="Arial"/>
          <w:sz w:val="18"/>
          <w:szCs w:val="18"/>
          <w:color w:val="auto"/>
        </w:rPr>
        <w:t>and note 8 to our consolidated financial statements.</w:t>
      </w:r>
    </w:p>
    <w:p>
      <w:pPr>
        <w:spacing w:after="0" w:line="13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In 2015, our financing activities predominately related to (1) paying an aggregate of $1.1 billion in dividends on our common stock, (2) amending our previously outstanding 2012 Credit Facility and (3) issuing $1.0 billion in May 2015 tower revenue notes which provided us with funding to repay $250.0 million aggregate principal amount of August 2010 tower revenue notes, redeem all of the previously outstanding WCP securitized notes, and repay portions of outstanding borrowings under our previously outstanding 2012 Credit Facility. See also </w:t>
      </w:r>
      <w:r>
        <w:rPr>
          <w:rFonts w:ascii="Arial" w:cs="Arial" w:eastAsia="Arial" w:hAnsi="Arial"/>
          <w:sz w:val="17"/>
          <w:szCs w:val="17"/>
          <w:i w:val="1"/>
          <w:iCs w:val="1"/>
          <w:color w:val="auto"/>
        </w:rPr>
        <w:t>"Item 7. MD&amp;A—General Overview—Common Stock Dividend"</w:t>
      </w:r>
      <w:r>
        <w:rPr>
          <w:rFonts w:ascii="Arial" w:cs="Arial" w:eastAsia="Arial" w:hAnsi="Arial"/>
          <w:sz w:val="17"/>
          <w:szCs w:val="17"/>
          <w:color w:val="auto"/>
        </w:rPr>
        <w:t xml:space="preserve"> for a discussion of the increase to our common stock dividend during the fourth quarter of 2015.</w:t>
      </w:r>
    </w:p>
    <w:p>
      <w:pPr>
        <w:spacing w:after="0" w:line="11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 xml:space="preserve">In January 2016, we completed a new senior unsecured $5.5 billion 2016 Credit Facility and utilized the proceeds, together with cash on hand, to repay all outstanding borrowings under the previously outstanding 2012 Credit Facility. See </w:t>
      </w:r>
      <w:r>
        <w:rPr>
          <w:rFonts w:ascii="Arial" w:cs="Arial" w:eastAsia="Arial" w:hAnsi="Arial"/>
          <w:sz w:val="16"/>
          <w:szCs w:val="16"/>
          <w:i w:val="1"/>
          <w:iCs w:val="1"/>
          <w:color w:val="auto"/>
        </w:rPr>
        <w:t>"Item 7. MD&amp;A—Liquidity and Capital Resources—Credit Facility."</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February 2016, we issued $1.5 billion aggregate principal amount of investment grade senior unsecured notes ("2016 Senior Unsecured Notes"), which consist of (1) $600.0 million aggregated principal amount of 3.4% senior notes with a final maturity date of February 2021, and (2) $900.0 million aggregate principal amount of 4.45% senior notes with a final maturity date of February 2026.</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used the net proceeds from the 2016 Senior Unsecured Notes offering, together with cash on hand, to (1) repay in full all outstanding borrowings under the 364-Day Facility (and, in connection therewith, terminate all commitments thereunder), and (2) to repay $500.0 million of outstanding borrowings under the 2016 Revolver.</w:t>
      </w:r>
    </w:p>
    <w:p>
      <w:pPr>
        <w:spacing w:after="0" w:line="20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Incurrences, Purchases and Repayments of Debt. </w:t>
      </w:r>
      <w:r>
        <w:rPr>
          <w:rFonts w:ascii="Arial" w:cs="Arial" w:eastAsia="Arial" w:hAnsi="Arial"/>
          <w:sz w:val="18"/>
          <w:szCs w:val="18"/>
          <w:color w:val="auto"/>
        </w:rPr>
        <w:t>See notes 8 and 19 to our consolidated financial statements for a discussion of our recent issuances,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purchases, and repayments of debt. Our debt issuances extended the maturities of our debt portfolio, provided funding for our acquisitions and our repayment of previously existing debt, and lowered our cost of debt. See </w:t>
      </w:r>
      <w:r>
        <w:rPr>
          <w:rFonts w:ascii="Arial" w:cs="Arial" w:eastAsia="Arial" w:hAnsi="Arial"/>
          <w:sz w:val="18"/>
          <w:szCs w:val="18"/>
          <w:i w:val="1"/>
          <w:iCs w:val="1"/>
          <w:color w:val="auto"/>
        </w:rPr>
        <w:t>"Item 7. MD&amp;A—Liquidity and Capital Resources—Overview—Liquidity Position."</w:t>
      </w:r>
      <w:r>
        <w:rPr>
          <w:rFonts w:ascii="Arial" w:cs="Arial" w:eastAsia="Arial" w:hAnsi="Arial"/>
          <w:sz w:val="18"/>
          <w:szCs w:val="18"/>
          <w:color w:val="auto"/>
        </w:rPr>
        <w:t xml:space="preserve"> After giving effect to our 2016 Refinancings, approximately 48% of our debt is secured. Certain of our wireless infrastructure is held in subsidiaries whose equity interests have been pledged, directly or indirectly, along with other collateral to secure such indebtedness. See notes 8 and 19 to our consolidated financial statements.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As of December 31, 2015, 2014, and 2013, we had 333.8 million, 333.9 million, and 334.1 million common shares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In October 2013, we issued 41.4 million shares of common stock, the net proceeds of which were used to partially fund the AT&amp;T Acquisition. During the year ended December 31, 2015, we paid an aggregate of $1.1 billion in dividends on our common stock. See </w:t>
      </w:r>
      <w:r>
        <w:rPr>
          <w:rFonts w:ascii="Arial" w:cs="Arial" w:eastAsia="Arial" w:hAnsi="Arial"/>
          <w:sz w:val="18"/>
          <w:szCs w:val="18"/>
          <w:i w:val="1"/>
          <w:iCs w:val="1"/>
          <w:color w:val="auto"/>
        </w:rPr>
        <w:t>"Item 1. Business—Strategy"</w:t>
      </w:r>
      <w:r>
        <w:rPr>
          <w:rFonts w:ascii="Arial" w:cs="Arial" w:eastAsia="Arial" w:hAnsi="Arial"/>
          <w:sz w:val="18"/>
          <w:szCs w:val="18"/>
          <w:color w:val="auto"/>
        </w:rPr>
        <w:t xml:space="preserve"> and note 12 to our consolidated financial statements.</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ATM Program. </w:t>
      </w:r>
      <w:r>
        <w:rPr>
          <w:rFonts w:ascii="Arial" w:cs="Arial" w:eastAsia="Arial" w:hAnsi="Arial"/>
          <w:sz w:val="16"/>
          <w:szCs w:val="16"/>
          <w:color w:val="auto"/>
        </w:rPr>
        <w:t>In August 2015, we established an ATM Program through which we may, from time to time, issue and sell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having an aggregate gross sales price of up to $500.0 million to or through sales agents. Sales, if any, under the ATM Program may be made by means of ordinary brokers' transactions on the New York Stock Exchange or otherwise at market prices prevailing at the time of sale, at prices related to prevailing market prices or, subject to our specific instructions, at negotiated prices. We intend to use the net proceeds from any sales under the ATM Program for general corporate purposes, which may include the funding of future acquisitions or investments and the repayment or repurchase of any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7"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indebtedness. As of February 15, 2016, no shares of common stock were sold under the ATM Program. See note 12 to our consolidated financial statements.</w:t>
      </w:r>
    </w:p>
    <w:p>
      <w:pPr>
        <w:spacing w:after="0" w:line="1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Convertible Preferred Stock. </w:t>
      </w:r>
      <w:r>
        <w:rPr>
          <w:rFonts w:ascii="Arial" w:cs="Arial" w:eastAsia="Arial" w:hAnsi="Arial"/>
          <w:sz w:val="18"/>
          <w:szCs w:val="18"/>
          <w:color w:val="auto"/>
        </w:rPr>
        <w:t>In October 2013, we issued 9.8 million shares of Convertible Preferred Stock, the net proceeds of which were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fund the AT&amp;T Acquisition. Unless converted earlier, each outstanding share of the Convertible Preferred Stock will automatically convert on November 1, 2016. Currently, each share of Convertible Preferred Stock will convert into shares of common stock at a conversion rate between 1.1538 shares (based on the current maximum conversion price of $86.67) and 1.4421 shares (based on the current minimum conversion price of $69.34), depending on the applicable market value of the common stock and subject to certain anti-dilution adjustments. At any time prior to November 1, 2016, holders of the Convertible Preferred Stock may elect to convert all or a portion of their shares into common stock at the minimum conversion rate of 1.1538, subject to certain anti-dilution adjustments.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2015, we repaid a total of $1.4 billion and borrowed $1.8 billion under the previously outstanding 2012 Revolver.</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2016, we completed a new unsecured $5.5 billion 2016 Credit Facility, consisting of (1) a $2.5 billion unsecured 2016 Revolver maturing on January 21, 2021, (2) a $1.0 billion Senior Unsecured 364-Day Revolving Credit Facility ("364-Day Facility") maturing on January 19, 2017, and (3) a $2.0 billion Senior Unsecured Term Loan A Facility ("2016 Term Loan A") maturing on January 21, 2021. As of February 15, 2016, the 364-Day Facility was terminated. See note 19 to our consolidated financial statements.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2016 Credit Facility bears interest at a per annum rate equal to LIBOR plus 1.125% to 2.000%, based on our senior unsecured debt rating.</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proceeds of the loans under the 2016 Credit Facility, together with cash on hand, were used to repay all outstanding borrowings under the previously outstanding 2012 Credit Facility.</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2016 Revolver may be used for general corporate purposes, which may include the financing of capital expenditures, acquisitions, and purchases of our common stock. See notes 4, 8, and 19 to our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15, 2016, there was approximately $2.1 billion in availability under the 2016 Revolver.</w:t>
      </w:r>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Pursuant to the indentures governing certain of our operating companies' debt securities, all rental cash receipts of the issuers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debt instruments and their subsidiaries are restricted and held by an indenture trustee. The restricted cash in excess of required reserve balances is subsequently released to us in accordance with the terms of the indentures. During 2012, $316.6 million of restricted cash was held by the trustee in connection with the redemption of the 7.75% secured notes. That amount was subsequently released in January 2013 when the 7.75% secured notes were redeemed in their entirety. See also notes 2 and 8 to our consolidated financial statements.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Cash Obligations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table summarizes our contractual cash obligations as of December 31, 2015, after giving effect to our 2016 Refinancings. These contractual cash obligations relate primarily to our outstanding borrowings or lease obligations for land interests under our towers. The debt maturities reflect contractual maturity dates and do not consider the impact of the principal payments that will commence following the anticipated repayment dates on the tower revenue notes (see footnote (b)).</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8"/>
                <w:szCs w:val="8"/>
                <w:b w:val="1"/>
                <w:bCs w:val="1"/>
                <w:color w:val="auto"/>
              </w:rPr>
              <w:t>(a)</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6"/>
          </w:tcPr>
          <w:p>
            <w:pPr>
              <w:ind w:left="40"/>
              <w:spacing w:after="0"/>
              <w:rPr>
                <w:sz w:val="20"/>
                <w:szCs w:val="20"/>
                <w:color w:val="auto"/>
              </w:rPr>
            </w:pPr>
            <w:r>
              <w:rPr>
                <w:rFonts w:ascii="Arial" w:cs="Arial" w:eastAsia="Arial" w:hAnsi="Arial"/>
                <w:sz w:val="14"/>
                <w:szCs w:val="14"/>
                <w:b w:val="1"/>
                <w:bCs w:val="1"/>
                <w:color w:val="auto"/>
              </w:rPr>
              <w:t>(In thousands of dollars)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and other long-term obligations</w:t>
            </w:r>
            <w:r>
              <w:rPr>
                <w:rFonts w:ascii="Arial" w:cs="Arial" w:eastAsia="Arial" w:hAnsi="Arial"/>
                <w:sz w:val="21"/>
                <w:szCs w:val="21"/>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88,521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597,262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131,301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135,534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199,535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10,954,173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12,106,326</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4"/>
              </w:rPr>
              <w:t>Interest payments on debt and other long-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tcPr>
          <w:p>
            <w:pPr>
              <w:ind w:left="200"/>
              <w:spacing w:after="0" w:line="239" w:lineRule="exact"/>
              <w:rPr>
                <w:sz w:val="20"/>
                <w:szCs w:val="20"/>
                <w:color w:val="auto"/>
              </w:rPr>
            </w:pPr>
            <w:r>
              <w:rPr>
                <w:rFonts w:ascii="Arial" w:cs="Arial" w:eastAsia="Arial" w:hAnsi="Arial"/>
                <w:sz w:val="16"/>
                <w:szCs w:val="16"/>
                <w:color w:val="auto"/>
              </w:rPr>
              <w:t>term obligations</w:t>
            </w:r>
            <w:r>
              <w:rPr>
                <w:rFonts w:ascii="Arial" w:cs="Arial" w:eastAsia="Arial" w:hAnsi="Arial"/>
                <w:sz w:val="21"/>
                <w:szCs w:val="21"/>
                <w:color w:val="auto"/>
                <w:vertAlign w:val="superscript"/>
              </w:rPr>
              <w:t>(c)(d)</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472,356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537,172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541,848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539,537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612,709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8,129,002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10,832,624</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obligations</w:t>
            </w:r>
            <w:r>
              <w:rPr>
                <w:rFonts w:ascii="Arial" w:cs="Arial" w:eastAsia="Arial" w:hAnsi="Arial"/>
                <w:sz w:val="21"/>
                <w:szCs w:val="21"/>
                <w:color w:val="auto"/>
                <w:vertAlign w:val="superscript"/>
              </w:rPr>
              <w:t>(e)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564,114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571,325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575,605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579,376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580,894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7,669,357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10,540,671</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Total contractual obligations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1,124,991</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1,705,759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1,248,754</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1,254,447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1,393,138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26,752,532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33,479,621</w:t>
            </w:r>
          </w:p>
        </w:tc>
        <w:tc>
          <w:tcPr>
            <w:tcW w:w="0" w:type="dxa"/>
            <w:vAlign w:val="bottom"/>
          </w:tcPr>
          <w:p>
            <w:pPr>
              <w:spacing w:after="0"/>
              <w:rPr>
                <w:sz w:val="1"/>
                <w:szCs w:val="1"/>
                <w:color w:val="auto"/>
              </w:rPr>
            </w:pPr>
          </w:p>
        </w:tc>
      </w:tr>
      <w:tr>
        <w:trPr>
          <w:trHeight w:val="33"/>
        </w:trPr>
        <w:tc>
          <w:tcPr>
            <w:tcW w:w="2880" w:type="dxa"/>
            <w:vAlign w:val="bottom"/>
            <w:vMerge w:val="restart"/>
          </w:tcPr>
          <w:p>
            <w:pPr>
              <w:spacing w:after="0"/>
              <w:rPr>
                <w:sz w:val="20"/>
                <w:szCs w:val="20"/>
                <w:color w:val="auto"/>
              </w:rPr>
            </w:pPr>
            <w:r>
              <w:rPr>
                <w:rFonts w:ascii="Arial" w:cs="Arial" w:eastAsia="Arial" w:hAnsi="Arial"/>
                <w:sz w:val="14"/>
                <w:szCs w:val="14"/>
                <w:color w:val="auto"/>
              </w:rPr>
              <w:t>____________________</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following items are in addition to the obligations disclosed in the above table: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We have a legal obligation to perform certain asset retirement activities, including requirements upon lease and easement terminations to remove wireless infrastructure or remediate the land upon which our wireless infrastructure resides. The cash obligations disclosed in the above table, as of December 31, 2015, are exclusive of estimated undiscounted future cash outlays for asset retirement obligations of approximately $1.1 billion. As of December 31, 2015, the net present value of these asset retirement obligations was approximately $132.1 million.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We are contractually obligated to pay or reimburse others for property taxes related to our wireless infrastructure.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64" w:lineRule="exact"/>
        <w:rPr>
          <w:sz w:val="20"/>
          <w:szCs w:val="20"/>
          <w:color w:val="auto"/>
        </w:rPr>
      </w:pPr>
    </w:p>
    <w:p>
      <w:pPr>
        <w:ind w:left="660" w:right="20" w:hanging="328"/>
        <w:spacing w:after="0" w:line="269" w:lineRule="auto"/>
        <w:tabs>
          <w:tab w:leader="none" w:pos="6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We have the option to purchase approximately 54% of our towers that are leased or subleased or operated and managed under master leases, subleases, and other agreements with AT&amp;T, Sprint, and T-Mobile at the end of their respective lease terms. We have no obligation to exercise such purchase options. See note 1 to our consolidated financial statements.</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We have legal obligations for open purchase order commitments obtained in the ordinary course of business that have not yet been fulfilled.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impact of principal payments that will commence following the anticipated repayment dates of our tower revenue notes are not considered. The January 2010 tower revenue notes consist of two series of notes with principal amounts of $350.0 million and $1.3 billion, having anticipated repayment dates in 2017 and 2020, respectively. The August 2010 tower revenue notes consist of two series of notes with principal amounts of $300.0 million and $1.0 billion, having anticipated repayment dates in 2017 and 2020, respectively. See notes 8 and 19 to our consolidated financial statements for a discussion of our recent refinancing activities.</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2037 to 2045 and include the impact of an assumed 5% increase in interest rate that would occur following the anticipated repayment dates but exclude the impact of monthly principal payments that would commence using Excess Cash Flow (as defined in the indenture governing the applicable tower revenue notes) of the issuers of the tower revenue notes. The full year 2015 Excess Cash Flow (as defined in the indenture governing the applicable tower revenue notes) of the issuers of the tower revenue notes was approximately $495.4 million. We currently expect to refinance these notes on or prior to the respective anticipated repayment dates.</w:t>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Interest payments on the floating rate debt are based on estimated rates currently in effect.</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relate primarily to lease obligations for the land interests on which our wireless infrastructure resides and are based on the assumption that payments will be made through the end of the period for which we hold renewal rights. See table below summarizing remaining terms to expiration.</w:t>
      </w:r>
    </w:p>
    <w:p>
      <w:pPr>
        <w:sectPr>
          <w:pgSz w:w="11900" w:h="16838" w:orient="portrait"/>
          <w:cols w:equalWidth="0" w:num="1">
            <w:col w:w="11420"/>
          </w:cols>
          <w:pgMar w:left="240" w:top="287" w:right="239" w:bottom="740" w:gutter="0" w:footer="0" w:header="0"/>
        </w:sectPr>
      </w:pPr>
    </w:p>
    <w:bookmarkStart w:id="37" w:name="page38"/>
    <w:bookmarkEnd w:id="37"/>
    <w:p>
      <w:pPr>
        <w:jc w:val="both"/>
        <w:ind w:firstLine="405"/>
        <w:spacing w:after="0" w:line="264" w:lineRule="auto"/>
        <w:rPr>
          <w:sz w:val="20"/>
          <w:szCs w:val="20"/>
          <w:color w:val="auto"/>
        </w:rPr>
      </w:pPr>
      <w:r>
        <w:rPr>
          <w:rFonts w:ascii="Arial" w:cs="Arial" w:eastAsia="Arial" w:hAnsi="Arial"/>
          <w:sz w:val="18"/>
          <w:szCs w:val="18"/>
          <w:color w:val="auto"/>
        </w:rPr>
        <w:t xml:space="preserve">The following chart summarizes our rights to the land interests under our towers, including renewal terms at our option, as of December 31, 2015. As of December 31, 2015, the leases for land interests under our towers had an average remaining life in excess of 30 years, weighted based on site rental gross margin. See </w:t>
      </w:r>
      <w:r>
        <w:rPr>
          <w:rFonts w:ascii="Arial" w:cs="Arial" w:eastAsia="Arial" w:hAnsi="Arial"/>
          <w:sz w:val="18"/>
          <w:szCs w:val="18"/>
          <w:i w:val="1"/>
          <w:i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193040</wp:posOffset>
            </wp:positionV>
            <wp:extent cx="5788660" cy="385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866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Without consideration of the term of the tenant lease.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Inclusive of fee interests and perpetual easements.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7"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i w:val="1"/>
          <w:iCs w:val="1"/>
          <w:color w:val="auto"/>
        </w:rPr>
        <w:t>Debt Covenants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credit agreement governing the 2016 Credit Facility contains financial maintenance covenants. We are currently in compliance with these financial maintenance covenants and, based upon our current expectations, we believe we will continue to comply with these financial maintenance covenants. In addition, certain of our debt agreements also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note 8 to our consolidated financial statements for further discussion of our debt covenants. See </w:t>
      </w:r>
      <w:r>
        <w:rPr>
          <w:rFonts w:ascii="Arial" w:cs="Arial" w:eastAsia="Arial" w:hAnsi="Arial"/>
          <w:sz w:val="16"/>
          <w:szCs w:val="16"/>
          <w:i w:val="1"/>
          <w:iCs w:val="1"/>
          <w:color w:val="auto"/>
        </w:rPr>
        <w:t>"Item 1A.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Risk Factors." </w:t>
      </w:r>
      <w:r>
        <w:rPr>
          <w:rFonts w:ascii="Arial" w:cs="Arial" w:eastAsia="Arial" w:hAnsi="Arial"/>
          <w:sz w:val="16"/>
          <w:szCs w:val="16"/>
          <w:color w:val="auto"/>
        </w:rPr>
        <w:t>The following are ratios applicable to the financial maintenance covenants under the credit agreement governing our 2016 Credit Facility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after giving effect to the receipt of the installment payment from the sale of CCAL in January 2016 and our 2016 Refinancings.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Borders>
              <w:bottom w:val="single" w:sz="8" w:color="auto"/>
            </w:tcBorders>
          </w:tcPr>
          <w:p>
            <w:pPr>
              <w:jc w:val="center"/>
              <w:ind w:left="527"/>
              <w:spacing w:after="0"/>
              <w:rPr>
                <w:sz w:val="20"/>
                <w:szCs w:val="20"/>
                <w:color w:val="auto"/>
              </w:rPr>
            </w:pPr>
            <w:r>
              <w:rPr>
                <w:rFonts w:ascii="Arial" w:cs="Arial" w:eastAsia="Arial" w:hAnsi="Arial"/>
                <w:sz w:val="13"/>
                <w:szCs w:val="13"/>
                <w:b w:val="1"/>
                <w:bCs w:val="1"/>
                <w:color w:val="auto"/>
                <w:w w:val="89"/>
              </w:rPr>
              <w:t>Borrower / Issuer</w:t>
            </w:r>
          </w:p>
        </w:tc>
        <w:tc>
          <w:tcPr>
            <w:tcW w:w="4260" w:type="dxa"/>
            <w:vAlign w:val="bottom"/>
            <w:tcBorders>
              <w:bottom w:val="single" w:sz="8" w:color="auto"/>
            </w:tcBorders>
          </w:tcPr>
          <w:p>
            <w:pPr>
              <w:ind w:left="1660"/>
              <w:spacing w:after="0"/>
              <w:rPr>
                <w:sz w:val="20"/>
                <w:szCs w:val="20"/>
                <w:color w:val="auto"/>
              </w:rPr>
            </w:pPr>
            <w:r>
              <w:rPr>
                <w:rFonts w:ascii="Arial" w:cs="Arial" w:eastAsia="Arial" w:hAnsi="Arial"/>
                <w:sz w:val="13"/>
                <w:szCs w:val="13"/>
                <w:b w:val="1"/>
                <w:bCs w:val="1"/>
                <w:color w:val="auto"/>
              </w:rPr>
              <w:t>Financial Maintenance Covenant</w:t>
            </w:r>
            <w:r>
              <w:rPr>
                <w:rFonts w:ascii="Arial" w:cs="Arial" w:eastAsia="Arial" w:hAnsi="Arial"/>
                <w:sz w:val="8"/>
                <w:szCs w:val="8"/>
                <w:b w:val="1"/>
                <w:bCs w:val="1"/>
                <w:color w:val="auto"/>
              </w:rPr>
              <w:t>(a)(b)</w:t>
            </w:r>
          </w:p>
        </w:tc>
        <w:tc>
          <w:tcPr>
            <w:tcW w:w="2440" w:type="dxa"/>
            <w:vAlign w:val="bottom"/>
            <w:tcBorders>
              <w:bottom w:val="single" w:sz="8" w:color="auto"/>
            </w:tcBorders>
          </w:tcPr>
          <w:p>
            <w:pPr>
              <w:jc w:val="center"/>
              <w:ind w:left="307"/>
              <w:spacing w:after="0"/>
              <w:rPr>
                <w:sz w:val="20"/>
                <w:szCs w:val="20"/>
                <w:color w:val="auto"/>
              </w:rPr>
            </w:pPr>
            <w:r>
              <w:rPr>
                <w:rFonts w:ascii="Arial" w:cs="Arial" w:eastAsia="Arial" w:hAnsi="Arial"/>
                <w:sz w:val="13"/>
                <w:szCs w:val="13"/>
                <w:b w:val="1"/>
                <w:bCs w:val="1"/>
                <w:color w:val="auto"/>
                <w:w w:val="88"/>
              </w:rPr>
              <w:t>Covenant Level Requirement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As of December 31, 2015</w:t>
            </w:r>
          </w:p>
        </w:tc>
      </w:tr>
      <w:tr>
        <w:trPr>
          <w:trHeight w:val="208"/>
        </w:trPr>
        <w:tc>
          <w:tcPr>
            <w:tcW w:w="2840" w:type="dxa"/>
            <w:vAlign w:val="bottom"/>
          </w:tcPr>
          <w:p>
            <w:pPr>
              <w:jc w:val="center"/>
              <w:ind w:left="527"/>
              <w:spacing w:after="0"/>
              <w:rPr>
                <w:sz w:val="20"/>
                <w:szCs w:val="20"/>
                <w:color w:val="auto"/>
              </w:rPr>
            </w:pPr>
            <w:r>
              <w:rPr>
                <w:rFonts w:ascii="Arial" w:cs="Arial" w:eastAsia="Arial" w:hAnsi="Arial"/>
                <w:sz w:val="15"/>
                <w:szCs w:val="15"/>
                <w:color w:val="auto"/>
                <w:w w:val="98"/>
              </w:rPr>
              <w:t>CCIC</w:t>
            </w:r>
          </w:p>
        </w:tc>
        <w:tc>
          <w:tcPr>
            <w:tcW w:w="4260" w:type="dxa"/>
            <w:vAlign w:val="bottom"/>
          </w:tcPr>
          <w:p>
            <w:pPr>
              <w:ind w:left="620"/>
              <w:spacing w:after="0"/>
              <w:rPr>
                <w:sz w:val="20"/>
                <w:szCs w:val="20"/>
                <w:color w:val="auto"/>
              </w:rPr>
            </w:pPr>
            <w:r>
              <w:rPr>
                <w:rFonts w:ascii="Arial" w:cs="Arial" w:eastAsia="Arial" w:hAnsi="Arial"/>
                <w:sz w:val="15"/>
                <w:szCs w:val="15"/>
                <w:color w:val="auto"/>
              </w:rPr>
              <w:t>Total Net Leverage Ratio</w:t>
            </w:r>
          </w:p>
        </w:tc>
        <w:tc>
          <w:tcPr>
            <w:tcW w:w="2440" w:type="dxa"/>
            <w:vAlign w:val="bottom"/>
          </w:tcPr>
          <w:p>
            <w:pPr>
              <w:jc w:val="center"/>
              <w:ind w:left="307"/>
              <w:spacing w:after="0"/>
              <w:rPr>
                <w:sz w:val="20"/>
                <w:szCs w:val="20"/>
                <w:color w:val="auto"/>
              </w:rPr>
            </w:pPr>
            <w:r>
              <w:rPr>
                <w:rFonts w:ascii="Arial" w:cs="Arial" w:eastAsia="Arial" w:hAnsi="Arial"/>
                <w:sz w:val="15"/>
                <w:szCs w:val="15"/>
                <w:color w:val="auto"/>
                <w:w w:val="93"/>
              </w:rPr>
              <w:t>≤ 6.50x</w:t>
            </w:r>
          </w:p>
        </w:tc>
        <w:tc>
          <w:tcPr>
            <w:tcW w:w="1860" w:type="dxa"/>
            <w:vAlign w:val="bottom"/>
          </w:tcPr>
          <w:p>
            <w:pPr>
              <w:jc w:val="center"/>
              <w:spacing w:after="0"/>
              <w:rPr>
                <w:sz w:val="20"/>
                <w:szCs w:val="20"/>
                <w:color w:val="auto"/>
              </w:rPr>
            </w:pPr>
            <w:r>
              <w:rPr>
                <w:rFonts w:ascii="Arial" w:cs="Arial" w:eastAsia="Arial" w:hAnsi="Arial"/>
                <w:sz w:val="15"/>
                <w:szCs w:val="15"/>
                <w:color w:val="auto"/>
                <w:w w:val="98"/>
              </w:rPr>
              <w:t>5.4x</w:t>
            </w:r>
          </w:p>
        </w:tc>
      </w:tr>
      <w:tr>
        <w:trPr>
          <w:trHeight w:val="216"/>
        </w:trPr>
        <w:tc>
          <w:tcPr>
            <w:tcW w:w="2840" w:type="dxa"/>
            <w:vAlign w:val="bottom"/>
          </w:tcPr>
          <w:p>
            <w:pPr>
              <w:jc w:val="center"/>
              <w:ind w:left="527"/>
              <w:spacing w:after="0"/>
              <w:rPr>
                <w:sz w:val="20"/>
                <w:szCs w:val="20"/>
                <w:color w:val="auto"/>
              </w:rPr>
            </w:pPr>
            <w:r>
              <w:rPr>
                <w:rFonts w:ascii="Arial" w:cs="Arial" w:eastAsia="Arial" w:hAnsi="Arial"/>
                <w:sz w:val="15"/>
                <w:szCs w:val="15"/>
                <w:color w:val="auto"/>
                <w:w w:val="98"/>
              </w:rPr>
              <w:t>CCIC</w:t>
            </w:r>
          </w:p>
        </w:tc>
        <w:tc>
          <w:tcPr>
            <w:tcW w:w="4260" w:type="dxa"/>
            <w:vAlign w:val="bottom"/>
          </w:tcPr>
          <w:p>
            <w:pPr>
              <w:ind w:left="620"/>
              <w:spacing w:after="0"/>
              <w:rPr>
                <w:sz w:val="20"/>
                <w:szCs w:val="20"/>
                <w:color w:val="auto"/>
              </w:rPr>
            </w:pPr>
            <w:r>
              <w:rPr>
                <w:rFonts w:ascii="Arial" w:cs="Arial" w:eastAsia="Arial" w:hAnsi="Arial"/>
                <w:sz w:val="15"/>
                <w:szCs w:val="15"/>
                <w:color w:val="auto"/>
              </w:rPr>
              <w:t>Total Senior Secured Leverage Ratio</w:t>
            </w:r>
          </w:p>
        </w:tc>
        <w:tc>
          <w:tcPr>
            <w:tcW w:w="2440" w:type="dxa"/>
            <w:vAlign w:val="bottom"/>
          </w:tcPr>
          <w:p>
            <w:pPr>
              <w:jc w:val="center"/>
              <w:ind w:left="307"/>
              <w:spacing w:after="0"/>
              <w:rPr>
                <w:sz w:val="20"/>
                <w:szCs w:val="20"/>
                <w:color w:val="auto"/>
              </w:rPr>
            </w:pPr>
            <w:r>
              <w:rPr>
                <w:rFonts w:ascii="Arial" w:cs="Arial" w:eastAsia="Arial" w:hAnsi="Arial"/>
                <w:sz w:val="15"/>
                <w:szCs w:val="15"/>
                <w:color w:val="auto"/>
                <w:w w:val="93"/>
              </w:rPr>
              <w:t>≤ 3.50x</w:t>
            </w:r>
          </w:p>
        </w:tc>
        <w:tc>
          <w:tcPr>
            <w:tcW w:w="1860" w:type="dxa"/>
            <w:vAlign w:val="bottom"/>
          </w:tcPr>
          <w:p>
            <w:pPr>
              <w:jc w:val="center"/>
              <w:spacing w:after="0"/>
              <w:rPr>
                <w:sz w:val="20"/>
                <w:szCs w:val="20"/>
                <w:color w:val="auto"/>
              </w:rPr>
            </w:pPr>
            <w:r>
              <w:rPr>
                <w:rFonts w:ascii="Arial" w:cs="Arial" w:eastAsia="Arial" w:hAnsi="Arial"/>
                <w:sz w:val="15"/>
                <w:szCs w:val="15"/>
                <w:color w:val="auto"/>
                <w:w w:val="98"/>
              </w:rPr>
              <w:t>2.5x</w:t>
            </w:r>
          </w:p>
        </w:tc>
      </w:tr>
      <w:tr>
        <w:trPr>
          <w:trHeight w:val="351"/>
        </w:trPr>
        <w:tc>
          <w:tcPr>
            <w:tcW w:w="2840" w:type="dxa"/>
            <w:vAlign w:val="bottom"/>
          </w:tcPr>
          <w:p>
            <w:pPr>
              <w:jc w:val="center"/>
              <w:ind w:left="527"/>
              <w:spacing w:after="0"/>
              <w:rPr>
                <w:sz w:val="20"/>
                <w:szCs w:val="20"/>
                <w:color w:val="auto"/>
              </w:rPr>
            </w:pPr>
            <w:r>
              <w:rPr>
                <w:rFonts w:ascii="Arial" w:cs="Arial" w:eastAsia="Arial" w:hAnsi="Arial"/>
                <w:sz w:val="15"/>
                <w:szCs w:val="15"/>
                <w:color w:val="auto"/>
                <w:w w:val="98"/>
              </w:rPr>
              <w:t>CCIC</w:t>
            </w:r>
          </w:p>
        </w:tc>
        <w:tc>
          <w:tcPr>
            <w:tcW w:w="4260" w:type="dxa"/>
            <w:vAlign w:val="bottom"/>
          </w:tcPr>
          <w:p>
            <w:pPr>
              <w:ind w:left="620"/>
              <w:spacing w:after="0"/>
              <w:rPr>
                <w:sz w:val="20"/>
                <w:szCs w:val="20"/>
                <w:color w:val="auto"/>
              </w:rPr>
            </w:pPr>
            <w:r>
              <w:rPr>
                <w:rFonts w:ascii="Arial" w:cs="Arial" w:eastAsia="Arial" w:hAnsi="Arial"/>
                <w:sz w:val="15"/>
                <w:szCs w:val="15"/>
                <w:color w:val="auto"/>
              </w:rPr>
              <w:t>Consolidated Interest Coverage Ratio</w:t>
            </w:r>
            <w:r>
              <w:rPr>
                <w:rFonts w:ascii="Arial" w:cs="Arial" w:eastAsia="Arial" w:hAnsi="Arial"/>
                <w:sz w:val="25"/>
                <w:szCs w:val="25"/>
                <w:color w:val="auto"/>
                <w:vertAlign w:val="superscript"/>
              </w:rPr>
              <w:t>(c)</w:t>
            </w:r>
          </w:p>
        </w:tc>
        <w:tc>
          <w:tcPr>
            <w:tcW w:w="2440" w:type="dxa"/>
            <w:vAlign w:val="bottom"/>
          </w:tcPr>
          <w:p>
            <w:pPr>
              <w:jc w:val="center"/>
              <w:ind w:left="307"/>
              <w:spacing w:after="0"/>
              <w:rPr>
                <w:sz w:val="20"/>
                <w:szCs w:val="20"/>
                <w:color w:val="auto"/>
              </w:rPr>
            </w:pPr>
            <w:r>
              <w:rPr>
                <w:rFonts w:ascii="Arial" w:cs="Arial" w:eastAsia="Arial" w:hAnsi="Arial"/>
                <w:sz w:val="15"/>
                <w:szCs w:val="15"/>
                <w:color w:val="auto"/>
              </w:rPr>
              <w:t>N/A</w:t>
            </w:r>
          </w:p>
        </w:tc>
        <w:tc>
          <w:tcPr>
            <w:tcW w:w="1860" w:type="dxa"/>
            <w:vAlign w:val="bottom"/>
          </w:tcPr>
          <w:p>
            <w:pPr>
              <w:jc w:val="center"/>
              <w:spacing w:after="0"/>
              <w:rPr>
                <w:sz w:val="20"/>
                <w:szCs w:val="20"/>
                <w:color w:val="auto"/>
              </w:rPr>
            </w:pPr>
            <w:r>
              <w:rPr>
                <w:rFonts w:ascii="Arial" w:cs="Arial" w:eastAsia="Arial" w:hAnsi="Arial"/>
                <w:sz w:val="15"/>
                <w:szCs w:val="15"/>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30480</wp:posOffset>
            </wp:positionV>
            <wp:extent cx="1143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5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Failure to comply with the financial maintenance covenants would, absent a waiver, result in an event of default under the credit agreement governing our 2016 Credit Facility.</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defined in the credit agreement governing our 2016 Credit Facility.</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Applicable solely to the extent that the senior unsecured debt rating by any two of S&amp;P, Moody's and Fitch is lower than BBB-, Baa3 or BBB-, respectively. If applicable, the consolidated interest coverage ratio must be greater than or equal to 2.50.</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 off-balance sheet arrangements as defined in Item 303(a)(4)(ii) of Regulation S-K.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is a discussion of the accounting policies and estimates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2015 are not intended to be a comprehensive list of our accounting policies and estimates. See note 2 to our consolidated financial statements for a summary of our significant accounting policies. In many cases, the accounting treatment of a particular transaction is specifically dictated by GAAP. In other cases, management is required to exercise judgment in the application of accounting principles with respect to particular transactions.</w:t>
      </w:r>
    </w:p>
    <w:p>
      <w:pPr>
        <w:spacing w:after="0" w:line="12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82% of our total revenue for 2015 consists of site rental revenues, which are recognized on a monthly basis over the fixed, non-cancelable term of the relevant lease (generally ranging from five to 15 years), regardless of whether the payments from the tenant are received in equal monthly amounts. If the payment terms call for fixed escalations (as in fixed dollar or fixed percentage increases), upfront payments or rent free periods, the revenue is recognized on a straight-line basis over the fixed, non-cancelable term of the lease. When calculating our straight-line rental revenues, we consider all fixed elements of tenant contractual escalation provisions, even if such escalation provisions contain a variable element (such as an escalator tied to an inflation-based index) in addition to a minimum. To the extent we acquire below-market tenant leases for contractual interests with tenants on the acquired wireless infrastructure (for example with respect to small cells) we record deferred credits and amortize such deferred credits to site rental revenues over their estimated lease term. Since we recognize revenue on a straight-line basis, a portion of the site rental revenue in a given period represents cash collected or contractually collectible in other periods. Our assets related to straight-line site rental revenues are included in "other current assets" and "deferred site rental receivables, net." Amounts billed or received prior to being earned are deferred and reflected in "deferred revenues" and "other long-term liabilities." See notes 2 and 7 to our consolidated financial statements.</w:t>
      </w:r>
    </w:p>
    <w:p>
      <w:pPr>
        <w:spacing w:after="0" w:line="1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As part of our effort to provide comprehensive wireless infrastructure solutions, we offer certain network services relating to our wireless infrastructure, which represent approximately 18% of our total revenues for 2015. Network services and other revenue consists of (1) site development services and (2) installation services. Network services revenues are recognized after completion of the applicable service. We account for network services separately from the customer's site rental. See </w:t>
      </w:r>
      <w:r>
        <w:rPr>
          <w:rFonts w:ascii="Arial" w:cs="Arial" w:eastAsia="Arial" w:hAnsi="Arial"/>
          <w:sz w:val="17"/>
          <w:szCs w:val="17"/>
          <w:i w:val="1"/>
          <w:iCs w:val="1"/>
          <w:color w:val="auto"/>
        </w:rPr>
        <w:t>"Item 1. Business—The Company"</w:t>
      </w:r>
      <w:r>
        <w:rPr>
          <w:rFonts w:ascii="Arial" w:cs="Arial" w:eastAsia="Arial" w:hAnsi="Arial"/>
          <w:sz w:val="17"/>
          <w:szCs w:val="17"/>
          <w:color w:val="auto"/>
        </w:rPr>
        <w:t xml:space="preserve"> for a further discussion of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7" w:right="239" w:bottom="1440" w:gutter="0" w:footer="0" w:header="0"/>
        </w:sectPr>
      </w:pPr>
    </w:p>
    <w:bookmarkStart w:id="39" w:name="page40"/>
    <w:bookmarkEnd w:id="39"/>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Accounting for Acquisitions — General. </w:t>
      </w:r>
      <w:r>
        <w:rPr>
          <w:rFonts w:ascii="Arial" w:cs="Arial" w:eastAsia="Arial" w:hAnsi="Arial"/>
          <w:sz w:val="18"/>
          <w:szCs w:val="18"/>
          <w:color w:val="auto"/>
        </w:rPr>
        <w:t>As described in "</w:t>
      </w:r>
      <w:r>
        <w:rPr>
          <w:rFonts w:ascii="Arial" w:cs="Arial" w:eastAsia="Arial" w:hAnsi="Arial"/>
          <w:sz w:val="18"/>
          <w:szCs w:val="18"/>
          <w:i w:val="1"/>
          <w:iCs w:val="1"/>
          <w:color w:val="auto"/>
        </w:rPr>
        <w:t>Item 1. Business,</w:t>
      </w:r>
      <w:r>
        <w:rPr>
          <w:rFonts w:ascii="Arial" w:cs="Arial" w:eastAsia="Arial" w:hAnsi="Arial"/>
          <w:sz w:val="18"/>
          <w:szCs w:val="18"/>
          <w:color w:val="auto"/>
        </w:rPr>
        <w:t>" much of our wireless infrastructure has been acquired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transactions from the four largest wireless carriers (or their predecessors) through transactions consummated since 1999. We evaluate each of our acquisitions to determine if it should be accounted for as a business combination or as an acquisition of assets. 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See </w:t>
      </w:r>
      <w:r>
        <w:rPr>
          <w:rFonts w:ascii="Arial" w:cs="Arial" w:eastAsia="Arial" w:hAnsi="Arial"/>
          <w:sz w:val="18"/>
          <w:szCs w:val="18"/>
          <w:i w:val="1"/>
          <w:iCs w:val="1"/>
          <w:color w:val="auto"/>
        </w:rPr>
        <w:t>"Item 7. MD&amp;A—Accounting and Reporting Matters—Accounting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Acquisitions—Valuation" </w:t>
      </w:r>
      <w:r>
        <w:rPr>
          <w:rFonts w:ascii="Arial" w:cs="Arial" w:eastAsia="Arial" w:hAnsi="Arial"/>
          <w:sz w:val="18"/>
          <w:szCs w:val="18"/>
          <w:color w:val="auto"/>
        </w:rPr>
        <w:t>below.</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determination of the final purchase price allocation could extend over several quarters resulting in the use of preliminary estimates that are subject to adjustment until finalized. Such changes could have a significant impact on our financial statements.</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Accounting for Acquisitions — Leases. </w:t>
      </w:r>
      <w:r>
        <w:rPr>
          <w:rFonts w:ascii="Arial" w:cs="Arial" w:eastAsia="Arial" w:hAnsi="Arial"/>
          <w:sz w:val="17"/>
          <w:szCs w:val="17"/>
          <w:color w:val="auto"/>
        </w:rPr>
        <w:t>With respect to business combinations that include towers that we lease and operate, such as the AT&amp;T, T-Mobile, and Sprint leased and subleased towers, we evaluate such agreements to determine treatment as capital or operating leases. The evaluation of such agreements for capital or operating lease treatment includes consideration of each of the lease classification criteria under ASC 840-10-25, namely (1) the transfer of ownership provisions, (2) the existence of bargain purchase options, (3) the length of the remaining lease term, and (4) the present value of the minimum lease payments. With respect to the AT&amp;T Acquisition, T-Mobile Acquisition, and the Sprint towers acquired in the Global Signal Acquisition, we determined that the tower leases were capital leases and the underlying land leases were operating leases based upon the lease term criterion, after considering the fragmentation criteria applicable under ASC 840-10-25 to leases involving both land and buildings (i.e., towers). We determined that the fragmentation criteria was met, and the tower leases could be accounted for as capital leases apart from the land leases, which are accounted for as operating leases, since (1) the fair value of the land in the aforementioned business combinations was greater than 25% of the total fair value of the leased property at inception and (2) the tower lease expirations occur beyond 75% of the estimated economic life of the tower assets.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Accounting for Acquisitions — Valuation. </w:t>
      </w:r>
      <w:r>
        <w:rPr>
          <w:rFonts w:ascii="Arial" w:cs="Arial" w:eastAsia="Arial" w:hAnsi="Arial"/>
          <w:sz w:val="18"/>
          <w:szCs w:val="18"/>
          <w:color w:val="auto"/>
        </w:rPr>
        <w:t>As of December 31, 2015, our largest asset was property and equipment, which primarily consists of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followed by goodwill and intangible assets. Our identifiable intangible assets predominately relate to the site rental contracts and customer relationships intangible assets. See note 2 to our consolidated financial statements for further information regarding the nature and composition of the site rental contracts and customer relationships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the vast majority of our assets and liabilities is determined by using either:</w:t>
      </w:r>
    </w:p>
    <w:p>
      <w:pPr>
        <w:spacing w:after="0" w:line="171" w:lineRule="exact"/>
        <w:rPr>
          <w:sz w:val="20"/>
          <w:szCs w:val="20"/>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estimates of replacement costs (for tangible fixed assets such as towers), or</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discounted cash flow valuation methods (for estimating identifiable intangibles such as site rental contracts and customer relationships and above-market and below-market leases).</w:t>
      </w:r>
    </w:p>
    <w:p>
      <w:pPr>
        <w:spacing w:after="0" w:line="13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and amount of cash flows including estimates regarding customer renewals and cancellations. The most important estimates for measurement of above and below-market leases is the determination of (1) favorability or unfavorability to the current market terms and (2) applicable lease term, including whether renewals or extensions should be measured. With respect to business combinations that include towers that we lease and operate, such as the T-Mobile, Sprint, and AT&amp;T leased and subleased towers, we evaluate such agreements to determine treatment as capital or operating leases and identification of any bargain purchase options.</w:t>
      </w:r>
    </w:p>
    <w:p>
      <w:pPr>
        <w:spacing w:after="0" w:line="1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record the fair value of obligations to perform certain asset retirement activities, including requirements, pursuant to our ground leases or easements, to remove wireless infrastructure or remediate the land upon which our wireless infrastructure resides. In determining the fair value of these asset retirement obligations we must make several subjective and highly judgmental estimates such as those related to: (1) timing of cash flows, (2) future costs, (3) discount rates, and (4) the probability of enforcement to remove the towers or small cells or remediate the land. See note 2 to our consolidated financial statements.</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Accounting for Long-Lived Assets — Useful Lives. </w:t>
      </w:r>
      <w:r>
        <w:rPr>
          <w:rFonts w:ascii="Arial" w:cs="Arial" w:eastAsia="Arial" w:hAnsi="Arial"/>
          <w:sz w:val="18"/>
          <w:szCs w:val="18"/>
          <w:color w:val="auto"/>
        </w:rPr>
        <w:t>We are required to make subjective assessments as to the useful lives of our tangible and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The substantial portion of our property and equipment represents the cost of our wireless infrastructure which is depreciated with an estimated useful life equal to the shorter of (1) 20 years or (2) the term of the lease (including optional renewals) for the land interests under the wireless infrastructure.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30" w:right="239" w:bottom="1440" w:gutter="0" w:footer="0" w:header="0"/>
        </w:sectPr>
      </w:pPr>
    </w:p>
    <w:bookmarkStart w:id="40" w:name="page41"/>
    <w:bookmarkEnd w:id="40"/>
    <w:p>
      <w:pPr>
        <w:jc w:val="both"/>
        <w:ind w:firstLine="405"/>
        <w:spacing w:after="0" w:line="288" w:lineRule="auto"/>
        <w:rPr>
          <w:sz w:val="20"/>
          <w:szCs w:val="20"/>
          <w:color w:val="auto"/>
        </w:rPr>
      </w:pPr>
      <w:r>
        <w:rPr>
          <w:rFonts w:ascii="Arial" w:cs="Arial" w:eastAsia="Arial" w:hAnsi="Arial"/>
          <w:sz w:val="16"/>
          <w:szCs w:val="16"/>
          <w:color w:val="auto"/>
        </w:rPr>
        <w:t>The useful life of our intangible assets is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life of the site rental contracts and customer relationships intangible assets is limited by the maximum depreciable life of the wireless infrastructure (20 years), as a result of the interdependency of the wireless infrastructure and site rental contracts and customer relationships. In 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of the site rental contracts and customer relationships which includes assumptions regarding both (1) tenants' exercise of optional renewals contained in the acquired leases and (2) renewals of the acquired leases past the contractual term including exercisable options, the site rental contracts are amortized over a period not to exceed 20 years as a result of the useful life being limited by the depreciable life of the wireless infrastructure.</w:t>
      </w:r>
    </w:p>
    <w:p>
      <w:pPr>
        <w:spacing w:after="0" w:line="1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Accounting for Long-Lived Assets — Impairment Evaluation — Intangibles. </w:t>
      </w:r>
      <w:r>
        <w:rPr>
          <w:rFonts w:ascii="Arial" w:cs="Arial" w:eastAsia="Arial" w:hAnsi="Arial"/>
          <w:sz w:val="18"/>
          <w:szCs w:val="18"/>
          <w:color w:val="auto"/>
        </w:rPr>
        <w:t>We review the carrying values of property and equipment,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long-lived assets for impairment whenever events or changes in circumstances indicate that the carrying amounts may not be recoverable. We utilize the following dual grouping policy for purposes of determining the unit of account for testing impairment of the site rental contracts and customer relationships:</w:t>
      </w:r>
    </w:p>
    <w:p>
      <w:pPr>
        <w:spacing w:after="0" w:line="133" w:lineRule="exact"/>
        <w:rPr>
          <w:sz w:val="20"/>
          <w:szCs w:val="20"/>
          <w:color w:val="auto"/>
        </w:rPr>
      </w:pPr>
    </w:p>
    <w:p>
      <w:pPr>
        <w:ind w:left="820" w:hanging="407"/>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pool site rental contracts and customer relationships intangible assets and property and equipment into portfolio groups, and</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separately pool site rental contracts and customer relationships by significant tenant or by tenant grouping for individually insignificant tenants, as appropriate.</w:t>
      </w:r>
    </w:p>
    <w:p>
      <w:pPr>
        <w:spacing w:after="0" w:line="13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first pool site rental contracts and customer relationships intangible assets and property and equipment into portfolio groups for purposes of determining the unit of account for impairment testing, because we view wireless infrastructure as portfolios and wireless infrastructure in a given portfolio and its related tenant leases are not largely independent of the other wireless infrastructure in the portfolio. We re-evaluate the appropriateness of the pooled groups at least annually. This use of grouping is based in part on (1) our limitations regarding disposal of wireless infrastructure, (2) the interdependencies of wireless infrastructure portfolios, and (3) the manner in which wireless infrastructure is traded in the marketplace. The vast majority of our site rental contracts and customer relationships intangible assets and property and equipment are pooled into the U.S. owned wireless infrastructure group. Secondly, and separately, we pool site rental contracts and customer relationships by significant tenant or by tenant grouping for individually insignificant tenants, as appropriate, for purposes of determining the unit of account for impairment testing because we associate the value ascribed to site rental contracts and customer relationships intangible assets to the underlying contracts and related customer relationships acquired.</w:t>
      </w:r>
    </w:p>
    <w:p>
      <w:pPr>
        <w:spacing w:after="0" w:line="12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wireless infrastructure or (2) our customer relationships. For example, consideration would be given to events that impact (1) the structural integrity and longevity of our wireless infrastructure or (2) our ability to derive benefit from our existing customer relationships, including events such as bankruptcy or insolvency or loss of a significant customer. During 2015, there were no events or circumstances that caused us to review the carrying value of our intangible assets or property and equipment due in part to our assets performing consistently with or better than our expectations.</w:t>
      </w:r>
    </w:p>
    <w:p>
      <w:pPr>
        <w:spacing w:after="0" w:line="13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If the sum of the estimated future cash flows (undiscounted) from an asset, or portfolio group, significant tenant or tenant group (for individually insignificant tenants), as applicable,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wireless infrastructure and (2) estimates regarding tenant cancellations and renewals of leases.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41" w:name="page42"/>
    <w:bookmarkEnd w:id="41"/>
    <w:p>
      <w:pPr>
        <w:jc w:val="both"/>
        <w:ind w:firstLine="405"/>
        <w:spacing w:after="0" w:line="273" w:lineRule="auto"/>
        <w:rPr>
          <w:sz w:val="20"/>
          <w:szCs w:val="20"/>
          <w:color w:val="auto"/>
        </w:rPr>
      </w:pPr>
      <w:r>
        <w:rPr>
          <w:rFonts w:ascii="Arial" w:cs="Arial" w:eastAsia="Arial" w:hAnsi="Arial"/>
          <w:sz w:val="17"/>
          <w:szCs w:val="17"/>
          <w:color w:val="auto"/>
        </w:rPr>
        <w:t>When grouping assets into pools for purposes of impairment evaluation, we also consider individual towers, nodes, and third party land interests within a grouping for which we currently have no tenants. Approximately 2% of our total towers currently have no tenants. We continue to pay operating expenses on these towers in anticipation of obtaining tenants on these towers in the future, primarily because of the individual tower site demographics. We estimate, based on current visibility, potential tenants on approximately half of these towers. To the extent we do not believe there are long-term prospects of obtaining tenants on an individual tower, node, or third party land interest and all other possible avenues for recovering the carrying value has been exhausted, including sale of the asset, we appropriately reduce the carrying value of such assets to fair value.</w:t>
      </w:r>
    </w:p>
    <w:p>
      <w:pPr>
        <w:spacing w:after="0" w:line="12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Accounting for Long-Lived Assets — Impairment Evaluation — Goodwill. </w:t>
      </w:r>
      <w:r>
        <w:rPr>
          <w:rFonts w:ascii="Arial" w:cs="Arial" w:eastAsia="Arial" w:hAnsi="Arial"/>
          <w:sz w:val="18"/>
          <w:szCs w:val="18"/>
          <w:color w:val="auto"/>
        </w:rPr>
        <w:t>We test goodwill for impairment on an annual basis, regardless of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events or changes 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it is concluded that it is "more likely than not" that the fair value of a reporting unit is less than its carrying amount, it is necessary to perform the two-step goodwill impairment test. Otherwise the two-step goodwill impairment test is not required. During 2015, we sold our Australian operations and our reporting units changed from U.S. operations and Australian operations to towers and small cells. We performed a relative fair value allocation of goodwill when the change in reporting units occurred. See notes 3 and 16 to our consolidated financial statements regarding the sale of CCAL and change in reportable segments.We performed our most recent annual goodwill impairment test as of October 1, 2015, which resulted in no impairments. This assessment included consideration of our market capitalization which exceeded over three times the aggregate carrying amount of the reporting units as of December 31, 2015.</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Deferred Income Taxes. </w:t>
      </w:r>
      <w:r>
        <w:rPr>
          <w:rFonts w:ascii="Arial" w:cs="Arial" w:eastAsia="Arial" w:hAnsi="Arial"/>
          <w:sz w:val="18"/>
          <w:szCs w:val="18"/>
          <w:color w:val="auto"/>
        </w:rPr>
        <w:t>Effective January 1, 2014, we commenced operating as a REIT for U.S. federal income tax purposes. Our REIT taxable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generally not subject to federal and state income taxes as a result of the deduction for dividends paid and any usage of our remaining NOLs. Accordingly, the only provision or benefit for federal income taxes for the year ended December 31, 2015 relates to TRSs. Furthermore, as a result of the deduction for dividends paid, some or all of our NOLs related to our REIT may expire without utilization. See </w:t>
      </w:r>
      <w:r>
        <w:rPr>
          <w:rFonts w:ascii="Arial" w:cs="Arial" w:eastAsia="Arial" w:hAnsi="Arial"/>
          <w:sz w:val="18"/>
          <w:szCs w:val="18"/>
          <w:i w:val="1"/>
          <w:iCs w:val="1"/>
          <w:color w:val="auto"/>
        </w:rPr>
        <w:t>"Item 1. Business—2015 Industry Highlights and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Developments—REIT Election" </w:t>
      </w:r>
      <w:r>
        <w:rPr>
          <w:rFonts w:ascii="Arial" w:cs="Arial" w:eastAsia="Arial" w:hAnsi="Arial"/>
          <w:sz w:val="18"/>
          <w:szCs w:val="18"/>
          <w:color w:val="auto"/>
        </w:rPr>
        <w:t>for a discussion of the impact of our REIT election.</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TRSs will continue to be subject, as applicable, to federal and state income taxes and foreign taxes in the jurisdictions in which such assets and operations are located. See </w:t>
      </w:r>
      <w:r>
        <w:rPr>
          <w:rFonts w:ascii="Arial" w:cs="Arial" w:eastAsia="Arial" w:hAnsi="Arial"/>
          <w:sz w:val="18"/>
          <w:szCs w:val="18"/>
          <w:i w:val="1"/>
          <w:iCs w:val="1"/>
          <w:color w:val="auto"/>
        </w:rPr>
        <w:t>"Item 1. Business—2015 Industry Highlights and Company Developments—REIT Election"</w:t>
      </w:r>
      <w:r>
        <w:rPr>
          <w:rFonts w:ascii="Arial" w:cs="Arial" w:eastAsia="Arial" w:hAnsi="Arial"/>
          <w:sz w:val="18"/>
          <w:szCs w:val="18"/>
          <w:color w:val="auto"/>
        </w:rPr>
        <w:t xml:space="preserve"> for a discussion of </w:t>
      </w:r>
      <w:r>
        <w:rPr>
          <w:rFonts w:ascii="Arial" w:cs="Arial" w:eastAsia="Arial" w:hAnsi="Arial"/>
          <w:sz w:val="18"/>
          <w:szCs w:val="18"/>
          <w:color w:val="231F20"/>
        </w:rPr>
        <w:t>our inclusion of</w:t>
      </w:r>
      <w:r>
        <w:rPr>
          <w:rFonts w:ascii="Arial" w:cs="Arial" w:eastAsia="Arial" w:hAnsi="Arial"/>
          <w:sz w:val="18"/>
          <w:szCs w:val="18"/>
          <w:color w:val="auto"/>
        </w:rPr>
        <w:t xml:space="preserve"> small cells in the REIT effective January 1, 2016. Our ability to utilize our NOLs is dependent, in part, upon our having sufficient future earnings to utilize our NOLs before they expire. If market conditions change materially and we determine that we will be unable to generate sufficient taxable income in the future to utilize our NOLs, we would be required to record an additional valuation allowance, which would reduce our earnings. Such adjustments could cause a material effect on our results of operations for the period of the adjustment. The change in our valuation allowance has no effect on our cash flows. For a further discussion of our benefit (provision) for income taxes and our REIT conversion, see </w:t>
      </w:r>
      <w:r>
        <w:rPr>
          <w:rFonts w:ascii="Arial" w:cs="Arial" w:eastAsia="Arial" w:hAnsi="Arial"/>
          <w:sz w:val="18"/>
          <w:szCs w:val="18"/>
          <w:i w:val="1"/>
          <w:iCs w:val="1"/>
          <w:color w:val="auto"/>
        </w:rPr>
        <w:t>"Item 7. MD&amp;A—Results of Operations"</w:t>
      </w:r>
      <w:r>
        <w:rPr>
          <w:rFonts w:ascii="Arial" w:cs="Arial" w:eastAsia="Arial" w:hAnsi="Arial"/>
          <w:sz w:val="18"/>
          <w:szCs w:val="18"/>
          <w:color w:val="auto"/>
        </w:rPr>
        <w:t xml:space="preserve"> and note 11 to our consolidated financial statements.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Accounting Pronouncements</w:t>
      </w:r>
    </w:p>
    <w:p>
      <w:pPr>
        <w:spacing w:after="0" w:line="171" w:lineRule="exact"/>
        <w:rPr>
          <w:sz w:val="20"/>
          <w:szCs w:val="20"/>
          <w:color w:val="auto"/>
        </w:rPr>
      </w:pPr>
    </w:p>
    <w:p>
      <w:pPr>
        <w:ind w:left="420" w:right="3400"/>
        <w:spacing w:after="0" w:line="438" w:lineRule="auto"/>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consolidated financial statements.</w:t>
      </w:r>
      <w:r>
        <w:rPr>
          <w:rFonts w:ascii="Arial" w:cs="Arial" w:eastAsia="Arial" w:hAnsi="Arial"/>
          <w:sz w:val="18"/>
          <w:szCs w:val="18"/>
          <w:i w:val="1"/>
          <w:iCs w:val="1"/>
          <w:color w:val="auto"/>
        </w:rPr>
        <w:t xml:space="preserve"> Recent Accounting Pronouncements Not Yet Adopted. </w:t>
      </w:r>
      <w:r>
        <w:rPr>
          <w:rFonts w:ascii="Arial" w:cs="Arial" w:eastAsia="Arial" w:hAnsi="Arial"/>
          <w:sz w:val="18"/>
          <w:szCs w:val="18"/>
          <w:color w:val="auto"/>
        </w:rPr>
        <w:t>See note 2 to our consolidated financial statements.</w:t>
      </w:r>
      <w:r>
        <w:rPr>
          <w:rFonts w:ascii="Arial" w:cs="Arial" w:eastAsia="Arial" w:hAnsi="Arial"/>
          <w:sz w:val="18"/>
          <w:szCs w:val="18"/>
          <w:i w:val="1"/>
          <w:iCs w:val="1"/>
          <w:color w:val="auto"/>
        </w:rPr>
        <w:t xml:space="preserve"> Non-GAAP Financial Measures</w:t>
      </w:r>
    </w:p>
    <w:p>
      <w:pPr>
        <w:spacing w:after="0" w:line="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Our measurement of profit or loss currently used to evaluate the operating performance of our operating segments is earnings before interest, taxes, depreciation, amortization, and accretion, as adjusted, or Adjusted EBITDA. Our definition of Adjusted EBITDA is set forth in </w:t>
      </w:r>
      <w:r>
        <w:rPr>
          <w:rFonts w:ascii="Arial" w:cs="Arial" w:eastAsia="Arial" w:hAnsi="Arial"/>
          <w:sz w:val="17"/>
          <w:szCs w:val="17"/>
          <w:i w:val="1"/>
          <w:iCs w:val="1"/>
          <w:color w:val="auto"/>
        </w:rPr>
        <w:t>"Item 7. MD&amp;A—Results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measure of Adjusted EBITDA may not be comparable to similarly titled measures of other companies, including companies in the tower</w:t>
      </w:r>
      <w:r>
        <w:rPr>
          <w:rFonts w:ascii="Arial" w:cs="Arial" w:eastAsia="Arial" w:hAnsi="Arial"/>
          <w:sz w:val="17"/>
          <w:szCs w:val="17"/>
          <w:i w:val="1"/>
          <w:iCs w:val="1"/>
          <w:color w:val="auto"/>
        </w:rPr>
        <w:t xml:space="preserve"> </w:t>
      </w:r>
      <w:r>
        <w:rPr>
          <w:rFonts w:ascii="Arial" w:cs="Arial" w:eastAsia="Arial" w:hAnsi="Arial"/>
          <w:sz w:val="17"/>
          <w:szCs w:val="17"/>
          <w:color w:val="auto"/>
        </w:rPr>
        <w:t>sector and other similar providers of wireless infrastructure, and is not a measure of performance calculated in accordance with GAAP. Adjusted EBITDA should not be considered in isolation or as a substitute for operating income or loss, net income or loss, net cash provided by (used for) operating, investing and financing activities, or other income statement or cash flow statement data prepared in accordance with GAAP.</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define Adjusted EBITDA as net income (loss) plus restructuring charges (credits), asset write-down charges, acquisition and integration costs, depreciation, amortization and accretion, amortization of prepaid lease purchase price adjustments, interest expense and amortization of deferred financing costs, gains (losses) on retirement of long-term obligations, net gain (loss) on interest rate swaps, gains (losses) on foreign currency swaps, impairment of available-for-sale securities, interest income, other income (expense), benefit (provision) for income taxes, cumulative effect of a change in accounting principle, income (loss) from discontinued operations and stock-based compensation expense. The reconciliation of Adjusted EBITDA to our net income (loss) is set forth below. Adjusted EBITDA is not intended as an alternative measure of operating results or cash flows from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as determined in accordance with GAAP, and our definition of Adjusted EBITDA may not be comparable to similarly titled measures of other companies.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2013</w:t>
            </w: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1,524,335</w:t>
            </w:r>
          </w:p>
        </w:tc>
        <w:tc>
          <w:tcPr>
            <w:tcW w:w="5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398,774</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93,901</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Adjustments to increase (decrease) net income (loss):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(999,049)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(52,460)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(33,900)</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Asset write-down charges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33,468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14,246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13,595</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and integration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15,678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34,145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25,574</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Depreciation, amortization and accretion</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1,036,178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985,781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741,342</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prepaid lease purchase price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20,531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19,972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15,472</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Interest expense and amortization of deferred financing costs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527,128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573,291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589,630</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(losses) on retirement of long-term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4,157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44,629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37,127</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(57,028)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3,902</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(51,457)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(11,244)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191,000</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67,148</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56,431</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39,031</w:t>
            </w:r>
          </w:p>
        </w:tc>
      </w:tr>
      <w:tr>
        <w:trPr>
          <w:trHeight w:val="250"/>
        </w:trPr>
        <w:tc>
          <w:tcPr>
            <w:tcW w:w="6860" w:type="dxa"/>
            <w:vAlign w:val="bottom"/>
          </w:tcPr>
          <w:p>
            <w:pPr>
              <w:ind w:left="50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(a)</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2,119,183</w:t>
            </w:r>
          </w:p>
        </w:tc>
        <w:tc>
          <w:tcPr>
            <w:tcW w:w="2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2,051,257</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1,715,718</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111760</wp:posOffset>
            </wp:positionV>
            <wp:extent cx="1143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above reconciliation excludes the items included in the Company's Adjusted EBITDA definition which are not applicable to the periods shown.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Adjusted EBITDA is useful to an investor in evaluating our operating performance because:</w:t>
      </w:r>
    </w:p>
    <w:p>
      <w:pPr>
        <w:spacing w:after="0" w:line="171" w:lineRule="exact"/>
        <w:rPr>
          <w:sz w:val="20"/>
          <w:szCs w:val="20"/>
          <w:color w:val="auto"/>
        </w:rPr>
      </w:pPr>
    </w:p>
    <w:p>
      <w:pPr>
        <w:jc w:val="both"/>
        <w:ind w:left="820" w:right="20" w:hanging="407"/>
        <w:spacing w:after="0" w:line="256"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the primary measure used by our management to evaluate the economic productivity of our operations, including the efficiency of our employees and the profitability associated with their performance, the realization of lease revenue under our long-term leases, our ability to obtain and maintain our tenants, and our ability to operate our wireless infrastructure effectively;</w:t>
      </w:r>
    </w:p>
    <w:p>
      <w:pPr>
        <w:ind w:left="820" w:hanging="407"/>
        <w:spacing w:after="0" w:line="250"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the primary measure of profit and loss used by management for purposes of making decisions about allocating resources to, and assessing the performance of, our operating segment;</w:t>
      </w: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similar to the measure of current financial performance generally used in our debt covenant calculations;</w:t>
      </w:r>
    </w:p>
    <w:p>
      <w:pPr>
        <w:spacing w:after="0" w:line="9"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although specific definitions may vary, it is widely used in the tower sector and other similar providers of wireless infrastructure to measure operating performance without regard to items such as depreciation, amortization and accretion, which can vary depending upon accounting methods and the book value of assets; and</w:t>
      </w:r>
    </w:p>
    <w:p>
      <w:pPr>
        <w:spacing w:after="0" w:line="1" w:lineRule="exact"/>
        <w:rPr>
          <w:rFonts w:ascii="Arial" w:cs="Arial" w:eastAsia="Arial" w:hAnsi="Arial"/>
          <w:sz w:val="18"/>
          <w:szCs w:val="18"/>
          <w:color w:val="auto"/>
        </w:rPr>
      </w:pPr>
    </w:p>
    <w:p>
      <w:pPr>
        <w:jc w:val="both"/>
        <w:ind w:left="820" w:hanging="407"/>
        <w:spacing w:after="0" w:line="255"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believe it helps investors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operating results.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management uses Adjusted EBITDA:</w:t>
      </w:r>
    </w:p>
    <w:p>
      <w:pPr>
        <w:spacing w:after="0" w:line="171" w:lineRule="exact"/>
        <w:rPr>
          <w:sz w:val="20"/>
          <w:szCs w:val="20"/>
          <w:color w:val="auto"/>
        </w:rPr>
      </w:pPr>
    </w:p>
    <w:p>
      <w:pPr>
        <w:ind w:left="820" w:hanging="407"/>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respect to compliance with our debt covenants, which require us to maintain certain financial ratios including, or similar to, Adjusted</w:t>
      </w:r>
    </w:p>
    <w:p>
      <w:pPr>
        <w:spacing w:after="0" w:line="34"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9" w:lineRule="exact"/>
        <w:rPr>
          <w:rFonts w:ascii="Arial" w:cs="Arial" w:eastAsia="Arial" w:hAnsi="Arial"/>
          <w:sz w:val="17"/>
          <w:szCs w:val="17"/>
          <w:color w:val="auto"/>
        </w:rPr>
      </w:pPr>
    </w:p>
    <w:p>
      <w:pPr>
        <w:ind w:left="820" w:hanging="407"/>
        <w:spacing w:after="0" w:line="250"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the primary measure of profit and loss for purposes of making decisions about allocating resources to, and assessing the performance of, our operating segments;</w:t>
      </w:r>
    </w:p>
    <w:p>
      <w:pPr>
        <w:ind w:left="820" w:hanging="407"/>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 performance goal in employee annual incentive compensation;</w:t>
      </w:r>
    </w:p>
    <w:p>
      <w:pPr>
        <w:spacing w:after="0" w:line="9"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 measurement of operating performance because it assists us in comparing our operating performance on a consistent basis as it removes the impact of our capital structure (primarily interest charges from our outstanding debt) and asset base (primarily depreciation, amortization, and accretion) from our operating results;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presentations to our board of directors to enable it to have the same measurement of operating performance used by management;</w:t>
      </w:r>
    </w:p>
    <w:p>
      <w:pPr>
        <w:spacing w:after="0" w:line="20" w:lineRule="exact"/>
        <w:rPr>
          <w:rFonts w:ascii="Arial" w:cs="Arial" w:eastAsia="Arial" w:hAnsi="Arial"/>
          <w:sz w:val="17"/>
          <w:szCs w:val="17"/>
          <w:color w:val="auto"/>
        </w:rPr>
      </w:pPr>
    </w:p>
    <w:p>
      <w:pPr>
        <w:ind w:left="820" w:hanging="407"/>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planning purposes, including preparation of our annual operating budget;</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 valuation measure in strategic analyses in connection with the purchase and sale of assets;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determining self-imposed limits on our debt levels, including the evaluation of our leverage ratio and interest coverage ratio.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0" w:right="239" w:bottom="1440" w:gutter="0" w:footer="0" w:header="0"/>
        </w:sectPr>
      </w:pPr>
    </w:p>
    <w:bookmarkStart w:id="43" w:name="page44"/>
    <w:bookmarkEnd w:id="43"/>
    <w:p>
      <w:pPr>
        <w:jc w:val="both"/>
        <w:ind w:firstLine="405"/>
        <w:spacing w:after="0" w:line="259" w:lineRule="auto"/>
        <w:rPr>
          <w:sz w:val="20"/>
          <w:szCs w:val="20"/>
          <w:color w:val="auto"/>
        </w:rPr>
      </w:pPr>
      <w:r>
        <w:rPr>
          <w:rFonts w:ascii="Arial" w:cs="Arial" w:eastAsia="Arial" w:hAnsi="Arial"/>
          <w:sz w:val="18"/>
          <w:szCs w:val="18"/>
          <w:color w:val="auto"/>
        </w:rPr>
        <w:t>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or loss. Management compensates for these limitations by considering the economic effect of the excluded expense items independently as well as in connection with their analysis of net income (loss).</w:t>
      </w:r>
    </w:p>
    <w:p>
      <w:pPr>
        <w:spacing w:after="0" w:line="34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primary exposures to market risks are related to changes in interest rates which may adversely affect our results of operations and financial position.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seek to manage exposure to changes in interest rates where economically prudent to do so by utilizing fixed rate debt.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interest rate risk relates primarily to the impact of interest rate movements on the following, after giving effect to our 2016 Refinancings:</w:t>
      </w:r>
    </w:p>
    <w:p>
      <w:pPr>
        <w:spacing w:after="0" w:line="183" w:lineRule="exact"/>
        <w:rPr>
          <w:sz w:val="20"/>
          <w:szCs w:val="20"/>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refinancing of our $12.1 billion in existing debt, compared to $11.9 billion in the prior year;</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$2.4 billion of floating rate debt representing approximately 19% of total debt, compared to 35% in the prior year;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future borrowings of incremental debt.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Potential Refinancing of Existing Debt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Over the next 12 months we have no debt maturities other than principal payments on amortizing debt. We have no debt maturities that have anticipated repayment dates during 2016. As of December 31, 2015 and December 31, 2014, we had no interest rate swaps hedging any refinancings. See below for a tabular presentation of our scheduled contractual debt maturities as of December 31, 2015, after giving effect to our 2016 Refinancings, and a discussion of anticipated repayment dates.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Floating Rate Debt</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manage our exposure to market interest rates on our existing debt by controlling the mix of fixed and floating rate debt. As of December 31, 2015, after giving effect to our 2016 Refinancings, we had $2.4 billion of floating rate debt, none of which had LIBOR floors. As a result, a hypothetical unfavorable fluctuation in market interest rates on our existing debt of 1/8 of a percent point over a 12-month period would increase our interest expense by approximately $2.9 million after giving effect to our 2016 Refinancings. As of December 31, 2014, we had $4.2 billion of floating rate debt, which included $2.8 billion of debt with a LIBOR floor of 0.75% per annum.</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Potential Future Borrowings of Incremental Debt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typically do not hedge our exposure to interest rates on potential future borrowings of incremental debt for a substantial period prior to issuance. See </w:t>
      </w:r>
      <w:r>
        <w:rPr>
          <w:rFonts w:ascii="Arial" w:cs="Arial" w:eastAsia="Arial" w:hAnsi="Arial"/>
          <w:sz w:val="18"/>
          <w:szCs w:val="18"/>
          <w:i w:val="1"/>
          <w:iCs w:val="1"/>
          <w:color w:val="auto"/>
        </w:rPr>
        <w:t xml:space="preserve">"Item 7. MD&amp;A—Liquidity and Capital Resources" </w:t>
      </w:r>
      <w:r>
        <w:rPr>
          <w:rFonts w:ascii="Arial" w:cs="Arial" w:eastAsia="Arial" w:hAnsi="Arial"/>
          <w:sz w:val="18"/>
          <w:szCs w:val="18"/>
          <w:color w:val="auto"/>
        </w:rPr>
        <w:t>regarding our liquidity strategy.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0" w:right="239" w:bottom="1440" w:gutter="0" w:footer="0" w:header="0"/>
        </w:sectPr>
      </w:pPr>
    </w:p>
    <w:bookmarkStart w:id="44" w:name="page45"/>
    <w:bookmarkEnd w:id="44"/>
    <w:p>
      <w:pPr>
        <w:jc w:val="both"/>
        <w:ind w:firstLine="405"/>
        <w:spacing w:after="0" w:line="279" w:lineRule="auto"/>
        <w:rPr>
          <w:sz w:val="20"/>
          <w:szCs w:val="20"/>
          <w:color w:val="auto"/>
        </w:rPr>
      </w:pPr>
      <w:r>
        <w:rPr>
          <w:rFonts w:ascii="Arial" w:cs="Arial" w:eastAsia="Arial" w:hAnsi="Arial"/>
          <w:sz w:val="17"/>
          <w:szCs w:val="17"/>
          <w:color w:val="auto"/>
        </w:rPr>
        <w:t>The following table provides information about our market risk related to changes in interest rates. The future principal payments and weighted-average interest rates are presented as of December 31, 2015 after giving effect to our 2016 Refinancings. These debt maturities reflect contractual maturity dates, and do not consider the impact of the principal payments that will commence following the anticipated repayment dates of certain notes (see footnotes (c) and (d)). See note 8 to our consolidated financial statements for additional information regarding our debt.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160" w:type="dxa"/>
            <w:vAlign w:val="bottom"/>
            <w:tcBorders>
              <w:bottom w:val="single" w:sz="8" w:color="auto"/>
            </w:tcBorders>
            <w:gridSpan w:val="10"/>
          </w:tcPr>
          <w:p>
            <w:pPr>
              <w:jc w:val="right"/>
              <w:ind w:right="521"/>
              <w:spacing w:after="0"/>
              <w:rPr>
                <w:sz w:val="20"/>
                <w:szCs w:val="20"/>
                <w:color w:val="auto"/>
              </w:rPr>
            </w:pPr>
            <w:r>
              <w:rPr>
                <w:rFonts w:ascii="Arial" w:cs="Arial" w:eastAsia="Arial" w:hAnsi="Arial"/>
                <w:sz w:val="14"/>
                <w:szCs w:val="14"/>
                <w:b w:val="1"/>
                <w:bCs w:val="1"/>
                <w:color w:val="auto"/>
                <w:w w:val="98"/>
              </w:rPr>
              <w:t>Future Principal Payments and Interest Rates by the Debt Instruments' Contractual Year of Maturity</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Thereafter</w:t>
            </w: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rate debt</w:t>
            </w:r>
            <w:r>
              <w:rPr>
                <w:rFonts w:ascii="Arial" w:cs="Arial" w:eastAsia="Arial" w:hAnsi="Arial"/>
                <w:sz w:val="21"/>
                <w:szCs w:val="21"/>
                <w:color w:val="auto"/>
                <w:vertAlign w:val="superscript"/>
              </w:rPr>
              <w:t>(c)</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51,021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547,262</w:t>
            </w:r>
          </w:p>
        </w:tc>
        <w:tc>
          <w:tcPr>
            <w:tcW w:w="3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(f)</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43,801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35,534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24,535</w:t>
            </w:r>
          </w:p>
        </w:tc>
        <w:tc>
          <w:tcPr>
            <w:tcW w:w="12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$ 9,049,173</w:t>
            </w:r>
          </w:p>
        </w:tc>
        <w:tc>
          <w:tcPr>
            <w:tcW w:w="12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$ 9,751,326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7"/>
              </w:rPr>
              <w:t>10,063,119</w:t>
            </w:r>
          </w:p>
        </w:tc>
        <w:tc>
          <w:tcPr>
            <w:tcW w:w="0" w:type="dxa"/>
            <w:vAlign w:val="bottom"/>
          </w:tcPr>
          <w:p>
            <w:pPr>
              <w:spacing w:after="0"/>
              <w:rPr>
                <w:sz w:val="1"/>
                <w:szCs w:val="1"/>
                <w:color w:val="auto"/>
              </w:rPr>
            </w:pPr>
          </w:p>
        </w:tc>
      </w:tr>
      <w:tr>
        <w:trPr>
          <w:trHeight w:val="220"/>
        </w:trPr>
        <w:tc>
          <w:tcPr>
            <w:tcW w:w="1680" w:type="dxa"/>
            <w:vAlign w:val="bottom"/>
          </w:tcPr>
          <w:p>
            <w:pPr>
              <w:ind w:left="40"/>
              <w:spacing w:after="0" w:line="220" w:lineRule="exact"/>
              <w:rPr>
                <w:sz w:val="20"/>
                <w:szCs w:val="20"/>
                <w:color w:val="auto"/>
              </w:rPr>
            </w:pPr>
            <w:r>
              <w:rPr>
                <w:rFonts w:ascii="Arial" w:cs="Arial" w:eastAsia="Arial" w:hAnsi="Arial"/>
                <w:sz w:val="16"/>
                <w:szCs w:val="16"/>
                <w:color w:val="auto"/>
                <w:w w:val="89"/>
              </w:rPr>
              <w:t>Average interest rate</w:t>
            </w:r>
            <w:r>
              <w:rPr>
                <w:rFonts w:ascii="Arial" w:cs="Arial" w:eastAsia="Arial" w:hAnsi="Arial"/>
                <w:sz w:val="21"/>
                <w:szCs w:val="21"/>
                <w:color w:val="auto"/>
                <w:w w:val="89"/>
                <w:vertAlign w:val="superscript"/>
              </w:rPr>
              <w:t>(b)(c)</w:t>
            </w:r>
          </w:p>
        </w:tc>
        <w:tc>
          <w:tcPr>
            <w:tcW w:w="220" w:type="dxa"/>
            <w:vAlign w:val="bottom"/>
          </w:tcPr>
          <w:p>
            <w:pPr>
              <w:spacing w:after="0"/>
              <w:rPr>
                <w:sz w:val="19"/>
                <w:szCs w:val="19"/>
                <w:color w:val="auto"/>
              </w:rPr>
            </w:pPr>
          </w:p>
        </w:tc>
        <w:tc>
          <w:tcPr>
            <w:tcW w:w="880" w:type="dxa"/>
            <w:vAlign w:val="bottom"/>
            <w:vMerge w:val="restart"/>
          </w:tcPr>
          <w:p>
            <w:pPr>
              <w:jc w:val="right"/>
              <w:ind w:right="121"/>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9"/>
                <w:szCs w:val="19"/>
                <w:color w:val="auto"/>
              </w:rPr>
            </w:pPr>
          </w:p>
        </w:tc>
        <w:tc>
          <w:tcPr>
            <w:tcW w:w="1020" w:type="dxa"/>
            <w:vAlign w:val="bottom"/>
            <w:gridSpan w:val="2"/>
            <w:vMerge w:val="restart"/>
          </w:tcPr>
          <w:p>
            <w:pPr>
              <w:jc w:val="right"/>
              <w:ind w:right="226"/>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9"/>
                <w:szCs w:val="19"/>
                <w:color w:val="auto"/>
              </w:rPr>
            </w:pPr>
          </w:p>
        </w:tc>
        <w:tc>
          <w:tcPr>
            <w:tcW w:w="880" w:type="dxa"/>
            <w:vAlign w:val="bottom"/>
            <w:vMerge w:val="restart"/>
          </w:tcPr>
          <w:p>
            <w:pPr>
              <w:jc w:val="right"/>
              <w:ind w:right="121"/>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19"/>
                <w:szCs w:val="19"/>
                <w:color w:val="auto"/>
              </w:rPr>
            </w:pPr>
          </w:p>
        </w:tc>
        <w:tc>
          <w:tcPr>
            <w:tcW w:w="880" w:type="dxa"/>
            <w:vAlign w:val="bottom"/>
            <w:vMerge w:val="restart"/>
          </w:tcPr>
          <w:p>
            <w:pPr>
              <w:jc w:val="right"/>
              <w:ind w:right="62"/>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9"/>
                <w:szCs w:val="19"/>
                <w:color w:val="auto"/>
              </w:rPr>
            </w:pPr>
          </w:p>
        </w:tc>
        <w:tc>
          <w:tcPr>
            <w:tcW w:w="920" w:type="dxa"/>
            <w:vAlign w:val="bottom"/>
            <w:vMerge w:val="restart"/>
          </w:tcPr>
          <w:p>
            <w:pPr>
              <w:jc w:val="right"/>
              <w:ind w:right="101"/>
              <w:spacing w:after="0"/>
              <w:rPr>
                <w:sz w:val="20"/>
                <w:szCs w:val="20"/>
                <w:color w:val="auto"/>
              </w:rPr>
            </w:pPr>
            <w:r>
              <w:rPr>
                <w:rFonts w:ascii="Arial" w:cs="Arial" w:eastAsia="Arial" w:hAnsi="Arial"/>
                <w:sz w:val="16"/>
                <w:szCs w:val="16"/>
                <w:color w:val="auto"/>
              </w:rPr>
              <w:t>5.2%</w:t>
            </w:r>
          </w:p>
        </w:tc>
        <w:tc>
          <w:tcPr>
            <w:tcW w:w="1280" w:type="dxa"/>
            <w:vAlign w:val="bottom"/>
            <w:vMerge w:val="restart"/>
          </w:tcPr>
          <w:p>
            <w:pPr>
              <w:jc w:val="right"/>
              <w:ind w:right="121"/>
              <w:spacing w:after="0"/>
              <w:rPr>
                <w:sz w:val="20"/>
                <w:szCs w:val="20"/>
                <w:color w:val="auto"/>
              </w:rPr>
            </w:pPr>
            <w:r>
              <w:rPr>
                <w:rFonts w:ascii="Arial" w:cs="Arial" w:eastAsia="Arial" w:hAnsi="Arial"/>
                <w:sz w:val="16"/>
                <w:szCs w:val="16"/>
                <w:color w:val="auto"/>
              </w:rPr>
              <w:t>6.9%</w:t>
            </w:r>
          </w:p>
        </w:tc>
        <w:tc>
          <w:tcPr>
            <w:tcW w:w="1260" w:type="dxa"/>
            <w:vAlign w:val="bottom"/>
            <w:vMerge w:val="restart"/>
          </w:tcPr>
          <w:p>
            <w:pPr>
              <w:jc w:val="right"/>
              <w:ind w:right="101"/>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40"/>
              <w:spacing w:after="0"/>
              <w:rPr>
                <w:sz w:val="20"/>
                <w:szCs w:val="20"/>
                <w:color w:val="auto"/>
              </w:rPr>
            </w:pPr>
            <w:r>
              <w:rPr>
                <w:rFonts w:ascii="Arial" w:cs="Arial" w:eastAsia="Arial" w:hAnsi="Arial"/>
                <w:sz w:val="11"/>
                <w:szCs w:val="11"/>
                <w:color w:val="auto"/>
              </w:rPr>
              <w:t>(d)</w:t>
            </w: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Variable rate debt</w:t>
            </w:r>
            <w:r>
              <w:rPr>
                <w:rFonts w:ascii="Arial" w:cs="Arial" w:eastAsia="Arial" w:hAnsi="Arial"/>
                <w:sz w:val="21"/>
                <w:szCs w:val="21"/>
                <w:color w:val="auto"/>
                <w:vertAlign w:val="superscript"/>
              </w:rPr>
              <w:t>(e)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37,500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50,000</w:t>
            </w: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87,500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175,000</w:t>
            </w:r>
          </w:p>
        </w:tc>
        <w:tc>
          <w:tcPr>
            <w:tcW w:w="12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$ 1,905,000</w:t>
            </w:r>
          </w:p>
        </w:tc>
        <w:tc>
          <w:tcPr>
            <w:tcW w:w="12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$ 2,355,000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2,355,000</w:t>
            </w:r>
          </w:p>
        </w:tc>
        <w:tc>
          <w:tcPr>
            <w:tcW w:w="0" w:type="dxa"/>
            <w:vAlign w:val="bottom"/>
          </w:tcPr>
          <w:p>
            <w:pPr>
              <w:spacing w:after="0"/>
              <w:rPr>
                <w:sz w:val="1"/>
                <w:szCs w:val="1"/>
                <w:color w:val="auto"/>
              </w:rPr>
            </w:pPr>
          </w:p>
        </w:tc>
      </w:tr>
      <w:tr>
        <w:trPr>
          <w:trHeight w:val="311"/>
        </w:trPr>
        <w:tc>
          <w:tcPr>
            <w:tcW w:w="1680" w:type="dxa"/>
            <w:vAlign w:val="bottom"/>
          </w:tcPr>
          <w:p>
            <w:pPr>
              <w:ind w:left="40"/>
              <w:spacing w:after="0"/>
              <w:rPr>
                <w:sz w:val="20"/>
                <w:szCs w:val="20"/>
                <w:color w:val="auto"/>
              </w:rPr>
            </w:pPr>
            <w:r>
              <w:rPr>
                <w:rFonts w:ascii="Arial" w:cs="Arial" w:eastAsia="Arial" w:hAnsi="Arial"/>
                <w:sz w:val="16"/>
                <w:szCs w:val="16"/>
                <w:color w:val="auto"/>
                <w:w w:val="97"/>
              </w:rPr>
              <w:t>Average interest rate</w:t>
            </w:r>
            <w:r>
              <w:rPr>
                <w:rFonts w:ascii="Arial" w:cs="Arial" w:eastAsia="Arial" w:hAnsi="Arial"/>
                <w:sz w:val="21"/>
                <w:szCs w:val="21"/>
                <w:color w:val="auto"/>
                <w:w w:val="97"/>
                <w:vertAlign w:val="superscript"/>
              </w:rPr>
              <w:t>(e)</w:t>
            </w:r>
          </w:p>
        </w:tc>
        <w:tc>
          <w:tcPr>
            <w:tcW w:w="220" w:type="dxa"/>
            <w:vAlign w:val="bottom"/>
          </w:tcPr>
          <w:p>
            <w:pPr>
              <w:spacing w:after="0"/>
              <w:rPr>
                <w:sz w:val="24"/>
                <w:szCs w:val="24"/>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24"/>
                <w:szCs w:val="24"/>
                <w:color w:val="auto"/>
              </w:rPr>
            </w:pPr>
          </w:p>
        </w:tc>
        <w:tc>
          <w:tcPr>
            <w:tcW w:w="1020" w:type="dxa"/>
            <w:vAlign w:val="bottom"/>
            <w:gridSpan w:val="2"/>
          </w:tcPr>
          <w:p>
            <w:pPr>
              <w:jc w:val="right"/>
              <w:ind w:right="226"/>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24"/>
                <w:szCs w:val="24"/>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24"/>
                <w:szCs w:val="24"/>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24"/>
                <w:szCs w:val="24"/>
                <w:color w:val="auto"/>
              </w:rPr>
            </w:pPr>
          </w:p>
        </w:tc>
        <w:tc>
          <w:tcPr>
            <w:tcW w:w="920" w:type="dxa"/>
            <w:vAlign w:val="bottom"/>
          </w:tcPr>
          <w:p>
            <w:pPr>
              <w:jc w:val="right"/>
              <w:ind w:right="101"/>
              <w:spacing w:after="0"/>
              <w:rPr>
                <w:sz w:val="20"/>
                <w:szCs w:val="20"/>
                <w:color w:val="auto"/>
              </w:rPr>
            </w:pPr>
            <w:r>
              <w:rPr>
                <w:rFonts w:ascii="Arial" w:cs="Arial" w:eastAsia="Arial" w:hAnsi="Arial"/>
                <w:sz w:val="16"/>
                <w:szCs w:val="16"/>
                <w:color w:val="auto"/>
              </w:rPr>
              <w:t>3.8%</w:t>
            </w: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3.9%</w:t>
            </w: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76835</wp:posOffset>
            </wp:positionV>
            <wp:extent cx="102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09" w:lineRule="exact"/>
        <w:rPr>
          <w:sz w:val="20"/>
          <w:szCs w:val="20"/>
          <w:color w:val="auto"/>
        </w:rPr>
      </w:pPr>
    </w:p>
    <w:p>
      <w:pPr>
        <w:ind w:left="340" w:hanging="332"/>
        <w:spacing w:after="0" w:line="269"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fair value of our debt is based on indicative quotes (that is,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average interest rate represents the weighted-average stated coupon rate (see footnote (c) and (d)).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impact of principal payments that will commence following the anticipated repayment dates is not considered. The January 2010 tower revenue notes consist of two series of notes with principal amounts of $350.0 million and $1.3 billion, having anticipated repayment dates in 2017 and 2020, respectively. The August 2010 tower revenue notes consist of two series of notes with principal amounts of $300.0 million and $1.0 billion, having anticipated repayment dates in 2017 and 2020, respectively. See note 8 to our consolidated financial statements for a discussion of our issuance of $1.0 billion of the May 2015 tower revenue notes with anticipated repayment dates ranging between 2022 and 2025. See note 19 to our consolidated financial statements for a discussion of the Company's 2016 refinancing activities, including the issuance of the 2016 Senior Unsecured Notes.</w:t>
      </w:r>
    </w:p>
    <w:p>
      <w:pPr>
        <w:spacing w:after="0" w:line="1" w:lineRule="exact"/>
        <w:rPr>
          <w:rFonts w:ascii="Arial" w:cs="Arial" w:eastAsia="Arial" w:hAnsi="Arial"/>
          <w:sz w:val="14"/>
          <w:szCs w:val="14"/>
          <w:color w:val="auto"/>
        </w:rPr>
      </w:pPr>
    </w:p>
    <w:p>
      <w:pPr>
        <w:jc w:val="both"/>
        <w:ind w:left="340" w:hanging="332"/>
        <w:spacing w:after="0" w:line="281"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2037 to 2045 and include the impact of an assumed 5% increase in interest rate that would occur following the anticipated repayment dates but exclude the impact of monthly principal payments that would commence using Excess Cash Flow of the issuers of the tower revenue notes. The full year 2015 Excess Cash Flow of the issuers of the tower revenue notes was approximately $495.4 million. We currently expect to refinance these notes on or prior to the respective anticipated repayment dates.</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Predominantly consists of $2.0 billion 2016 Term Loan A maturing in 2021. See note 19 to our consolidated financial statements.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Predominately consists of $500 million in aggregate principal amount of 2.381% secured notes due 2017.</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5" w:name="page46"/>
    <w:bookmarkEnd w:id="45"/>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7240" w:type="dxa"/>
            <w:vAlign w:val="bottom"/>
            <w:gridSpan w:val="6"/>
            <w:vMerge w:val="restart"/>
          </w:tcPr>
          <w:p>
            <w:pPr>
              <w:spacing w:after="0"/>
              <w:rPr>
                <w:rFonts w:ascii="Arial" w:cs="Arial" w:eastAsia="Arial" w:hAnsi="Arial"/>
                <w:sz w:val="18"/>
                <w:szCs w:val="18"/>
                <w:color w:val="auto"/>
              </w:rPr>
            </w:pPr>
            <w:hyperlink w:anchor="page46">
              <w:r>
                <w:rPr>
                  <w:rFonts w:ascii="Arial" w:cs="Arial" w:eastAsia="Arial" w:hAnsi="Arial"/>
                  <w:sz w:val="18"/>
                  <w:szCs w:val="18"/>
                  <w:color w:val="auto"/>
                </w:rPr>
                <w:t>Report of PricewaterhouseCoopers LLP, Independent Registered Public Accounting Firm</w:t>
              </w:r>
            </w:hyperlink>
          </w:p>
        </w:tc>
        <w:tc>
          <w:tcPr>
            <w:tcW w:w="3240" w:type="dxa"/>
            <w:vAlign w:val="bottom"/>
            <w:gridSpan w:val="3"/>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40" w:type="dxa"/>
            <w:vAlign w:val="bottom"/>
            <w:gridSpan w:val="6"/>
            <w:vMerge w:val="continue"/>
          </w:tcPr>
          <w:p>
            <w:pPr>
              <w:spacing w:after="0"/>
              <w:rPr>
                <w:sz w:val="15"/>
                <w:szCs w:val="15"/>
                <w:color w:val="auto"/>
              </w:rPr>
            </w:pPr>
          </w:p>
        </w:tc>
        <w:tc>
          <w:tcPr>
            <w:tcW w:w="3240" w:type="dxa"/>
            <w:vAlign w:val="bottom"/>
            <w:gridSpan w:val="3"/>
            <w:vMerge w:val="continue"/>
          </w:tcPr>
          <w:p>
            <w:pPr>
              <w:spacing w:after="0"/>
              <w:rPr>
                <w:sz w:val="15"/>
                <w:szCs w:val="15"/>
                <w:color w:val="auto"/>
              </w:rPr>
            </w:pPr>
          </w:p>
        </w:tc>
        <w:tc>
          <w:tcPr>
            <w:tcW w:w="900" w:type="dxa"/>
            <w:vAlign w:val="bottom"/>
            <w:gridSpan w:val="3"/>
          </w:tcPr>
          <w:p>
            <w:pPr>
              <w:jc w:val="right"/>
              <w:ind w:right="20"/>
              <w:spacing w:after="0" w:line="170"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7"/>
        </w:trPr>
        <w:tc>
          <w:tcPr>
            <w:tcW w:w="3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20" w:type="dxa"/>
            <w:vAlign w:val="bottom"/>
            <w:gridSpan w:val="2"/>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gridSpan w:val="3"/>
          </w:tcPr>
          <w:p>
            <w:pPr>
              <w:spacing w:after="0"/>
              <w:rPr>
                <w:rFonts w:ascii="Arial" w:cs="Arial" w:eastAsia="Arial" w:hAnsi="Arial"/>
                <w:sz w:val="18"/>
                <w:szCs w:val="18"/>
                <w:color w:val="auto"/>
                <w:w w:val="88"/>
              </w:rPr>
            </w:pPr>
            <w:hyperlink w:anchor="page47">
              <w:r>
                <w:rPr>
                  <w:rFonts w:ascii="Arial" w:cs="Arial" w:eastAsia="Arial" w:hAnsi="Arial"/>
                  <w:sz w:val="18"/>
                  <w:szCs w:val="18"/>
                  <w:color w:val="auto"/>
                  <w:w w:val="88"/>
                </w:rPr>
                <w:t xml:space="preserve">Consolidated Balance Sheet as of December 31, </w:t>
              </w:r>
            </w:hyperlink>
            <w:r>
              <w:rPr>
                <w:rFonts w:ascii="Arial" w:cs="Arial" w:eastAsia="Arial" w:hAnsi="Arial"/>
                <w:sz w:val="18"/>
                <w:szCs w:val="18"/>
                <w:color w:val="auto"/>
                <w:w w:val="88"/>
              </w:rPr>
              <w:t>2015 and 2014</w:t>
            </w:r>
          </w:p>
        </w:tc>
        <w:tc>
          <w:tcPr>
            <w:tcW w:w="2660" w:type="dxa"/>
            <w:vAlign w:val="bottom"/>
            <w:gridSpan w:val="3"/>
          </w:tcPr>
          <w:p>
            <w:pPr>
              <w:spacing w:after="0"/>
              <w:rPr>
                <w:sz w:val="22"/>
                <w:szCs w:val="22"/>
                <w:color w:val="auto"/>
              </w:rPr>
            </w:pPr>
          </w:p>
        </w:tc>
        <w:tc>
          <w:tcPr>
            <w:tcW w:w="3240" w:type="dxa"/>
            <w:vAlign w:val="bottom"/>
            <w:gridSpan w:val="3"/>
          </w:tcPr>
          <w:p>
            <w:pPr>
              <w:spacing w:after="0"/>
              <w:rPr>
                <w:sz w:val="22"/>
                <w:szCs w:val="22"/>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20" w:type="dxa"/>
            <w:vAlign w:val="bottom"/>
            <w:gridSpan w:val="8"/>
          </w:tcPr>
          <w:p>
            <w:pPr>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 xml:space="preserve">Consolidated Statement of Operations and Comprehensive Income (Loss) for each of the three years in the period ended December 31, </w:t>
              </w:r>
            </w:hyperlink>
            <w:r>
              <w:rPr>
                <w:rFonts w:ascii="Arial" w:cs="Arial" w:eastAsia="Arial" w:hAnsi="Arial"/>
                <w:sz w:val="18"/>
                <w:szCs w:val="18"/>
                <w:color w:val="auto"/>
                <w:w w:val="89"/>
              </w:rPr>
              <w:t>2015</w:t>
            </w:r>
          </w:p>
        </w:tc>
        <w:tc>
          <w:tcPr>
            <w:tcW w:w="360" w:type="dxa"/>
            <w:vAlign w:val="bottom"/>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20" w:type="dxa"/>
            <w:vAlign w:val="bottom"/>
            <w:gridSpan w:val="8"/>
          </w:tcPr>
          <w:p>
            <w:pPr>
              <w:spacing w:after="0"/>
              <w:rPr>
                <w:rFonts w:ascii="Arial" w:cs="Arial" w:eastAsia="Arial" w:hAnsi="Arial"/>
                <w:sz w:val="18"/>
                <w:szCs w:val="18"/>
                <w:color w:val="auto"/>
              </w:rPr>
            </w:pPr>
            <w:hyperlink w:anchor="page49">
              <w:r>
                <w:rPr>
                  <w:rFonts w:ascii="Arial" w:cs="Arial" w:eastAsia="Arial" w:hAnsi="Arial"/>
                  <w:sz w:val="18"/>
                  <w:szCs w:val="18"/>
                  <w:color w:val="auto"/>
                </w:rPr>
                <w:t xml:space="preserve">Consolidated Statement of Cash Flows for each of the three years in the period ended December 31, </w:t>
              </w:r>
            </w:hyperlink>
            <w:r>
              <w:rPr>
                <w:rFonts w:ascii="Arial" w:cs="Arial" w:eastAsia="Arial" w:hAnsi="Arial"/>
                <w:sz w:val="18"/>
                <w:szCs w:val="18"/>
                <w:color w:val="auto"/>
              </w:rPr>
              <w:t>2015</w:t>
            </w:r>
          </w:p>
        </w:tc>
        <w:tc>
          <w:tcPr>
            <w:tcW w:w="360" w:type="dxa"/>
            <w:vAlign w:val="bottom"/>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gridSpan w:val="6"/>
          </w:tcPr>
          <w:p>
            <w:pPr>
              <w:spacing w:after="0"/>
              <w:rPr>
                <w:sz w:val="20"/>
                <w:szCs w:val="20"/>
                <w:color w:val="auto"/>
              </w:rPr>
            </w:pPr>
            <w:r>
              <w:rPr>
                <w:rFonts w:ascii="Arial" w:cs="Arial" w:eastAsia="Arial" w:hAnsi="Arial"/>
                <w:sz w:val="18"/>
                <w:szCs w:val="18"/>
                <w:color w:val="auto"/>
                <w:w w:val="89"/>
              </w:rPr>
              <w:t>Consolidated Statement of Equity for each of the three years in the period ended December 31, 2015</w:t>
            </w:r>
          </w:p>
        </w:tc>
        <w:tc>
          <w:tcPr>
            <w:tcW w:w="360" w:type="dxa"/>
            <w:vAlign w:val="bottom"/>
          </w:tcPr>
          <w:p>
            <w:pPr>
              <w:spacing w:after="0"/>
              <w:rPr>
                <w:sz w:val="21"/>
                <w:szCs w:val="21"/>
                <w:color w:val="auto"/>
              </w:rPr>
            </w:pPr>
          </w:p>
        </w:tc>
        <w:tc>
          <w:tcPr>
            <w:tcW w:w="2880" w:type="dxa"/>
            <w:vAlign w:val="bottom"/>
            <w:gridSpan w:val="2"/>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gridSpan w:val="6"/>
          </w:tcPr>
          <w:p>
            <w:pPr>
              <w:spacing w:after="0"/>
              <w:rPr>
                <w:rFonts w:ascii="Arial" w:cs="Arial" w:eastAsia="Arial" w:hAnsi="Arial"/>
                <w:sz w:val="18"/>
                <w:szCs w:val="18"/>
                <w:color w:val="auto"/>
              </w:rPr>
            </w:pPr>
            <w:hyperlink w:anchor="page53">
              <w:r>
                <w:rPr>
                  <w:rFonts w:ascii="Arial" w:cs="Arial" w:eastAsia="Arial" w:hAnsi="Arial"/>
                  <w:sz w:val="18"/>
                  <w:szCs w:val="18"/>
                  <w:color w:val="auto"/>
                </w:rPr>
                <w:t>Notes to Consolidated Financial Statements</w:t>
              </w:r>
            </w:hyperlink>
          </w:p>
        </w:tc>
        <w:tc>
          <w:tcPr>
            <w:tcW w:w="3240" w:type="dxa"/>
            <w:vAlign w:val="bottom"/>
            <w:gridSpan w:val="3"/>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20" w:type="dxa"/>
            <w:vAlign w:val="bottom"/>
            <w:gridSpan w:val="2"/>
          </w:tcPr>
          <w:p>
            <w:pPr>
              <w:spacing w:after="0"/>
              <w:rPr>
                <w:sz w:val="20"/>
                <w:szCs w:val="20"/>
                <w:color w:val="auto"/>
              </w:rPr>
            </w:pPr>
            <w:r>
              <w:rPr>
                <w:rFonts w:ascii="Arial" w:cs="Arial" w:eastAsia="Arial" w:hAnsi="Arial"/>
                <w:sz w:val="18"/>
                <w:szCs w:val="18"/>
                <w:color w:val="auto"/>
                <w:w w:val="92"/>
              </w:rPr>
              <w:t>Schedule II - Valuation and Qualifying Accounts</w:t>
            </w:r>
          </w:p>
        </w:tc>
        <w:tc>
          <w:tcPr>
            <w:tcW w:w="6960" w:type="dxa"/>
            <w:vAlign w:val="bottom"/>
            <w:gridSpan w:val="7"/>
          </w:tcPr>
          <w:p>
            <w:pPr>
              <w:spacing w:after="0"/>
              <w:rPr>
                <w:sz w:val="24"/>
                <w:szCs w:val="24"/>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3520" w:type="dxa"/>
            <w:vAlign w:val="bottom"/>
            <w:gridSpan w:val="2"/>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80" w:type="dxa"/>
            <w:vAlign w:val="bottom"/>
            <w:gridSpan w:val="9"/>
          </w:tcPr>
          <w:p>
            <w:pPr>
              <w:spacing w:after="0"/>
              <w:rPr>
                <w:sz w:val="20"/>
                <w:szCs w:val="20"/>
                <w:color w:val="auto"/>
              </w:rPr>
            </w:pPr>
            <w:r>
              <w:rPr>
                <w:rFonts w:ascii="Arial" w:cs="Arial" w:eastAsia="Arial" w:hAnsi="Arial"/>
                <w:sz w:val="18"/>
                <w:szCs w:val="18"/>
                <w:color w:val="auto"/>
              </w:rPr>
              <w:t>Schedule III - Schedule of Real Estate and Accumulated Depreciation</w:t>
            </w:r>
          </w:p>
        </w:tc>
        <w:tc>
          <w:tcPr>
            <w:tcW w:w="900" w:type="dxa"/>
            <w:vAlign w:val="bottom"/>
            <w:gridSpan w:val="3"/>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723"/>
        </w:trPr>
        <w:tc>
          <w:tcPr>
            <w:tcW w:w="5020" w:type="dxa"/>
            <w:vAlign w:val="bottom"/>
            <w:tcBorders>
              <w:top w:val="single" w:sz="8" w:color="auto"/>
            </w:tcBorders>
            <w:gridSpan w:val="4"/>
          </w:tcPr>
          <w:p>
            <w:pPr>
              <w:spacing w:after="0"/>
              <w:rPr>
                <w:sz w:val="24"/>
                <w:szCs w:val="24"/>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9"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Castle International Corp.:</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(loss), of equity and of cash flows present fairly, in all material respects, the financial position of Crown Castle International Corp. and its subsidiaries ("the Company") at December 31, 2015 and 2014, and the results of their operations and their cash flows for each of the three years in the period ended December 31, 2015 in conformity with accounting principles generally accepted in the United States of America. In addition, in our opinion, the financial statement schedules listed in the accompanying index appearing under Item 15(a)(2)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9B.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151,312</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130,731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147,411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Receivables, net of allowance of $9,574 and $10,037,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313,296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313,308</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133,194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138,873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225,214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119,309</w:t>
            </w:r>
          </w:p>
        </w:tc>
        <w:tc>
          <w:tcPr>
            <w:tcW w:w="0" w:type="dxa"/>
            <w:vAlign w:val="bottom"/>
          </w:tcPr>
          <w:p>
            <w:pPr>
              <w:spacing w:after="0"/>
              <w:rPr>
                <w:sz w:val="1"/>
                <w:szCs w:val="1"/>
                <w:color w:val="auto"/>
              </w:rPr>
            </w:pPr>
          </w:p>
        </w:tc>
      </w:tr>
      <w:tr>
        <w:trPr>
          <w:trHeight w:val="224"/>
        </w:trPr>
        <w:tc>
          <w:tcPr>
            <w:tcW w:w="8340" w:type="dxa"/>
            <w:vAlign w:val="bottom"/>
          </w:tcPr>
          <w:p>
            <w:pPr>
              <w:ind w:left="500"/>
              <w:spacing w:after="0"/>
              <w:rPr>
                <w:sz w:val="20"/>
                <w:szCs w:val="20"/>
                <w:color w:val="auto"/>
              </w:rPr>
            </w:pPr>
            <w:r>
              <w:rPr>
                <w:rFonts w:ascii="Arial" w:cs="Arial" w:eastAsia="Arial" w:hAnsi="Arial"/>
                <w:sz w:val="16"/>
                <w:szCs w:val="16"/>
                <w:color w:val="auto"/>
              </w:rPr>
              <w:t>Assets from discontinued operations (see note 3)</w:t>
            </w: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412,783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981,245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1,282,996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site rental receivables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1,306,408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1,202,058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9,580,057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8,982,783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5,513,551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5,196,485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3,421,180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3,287,144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358,735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394,407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prepaid rent, deferred financing costs and other assets,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875,069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797,403</w:t>
            </w:r>
          </w:p>
        </w:tc>
        <w:tc>
          <w:tcPr>
            <w:tcW w:w="0" w:type="dxa"/>
            <w:vAlign w:val="bottom"/>
          </w:tcPr>
          <w:p>
            <w:pPr>
              <w:spacing w:after="0"/>
              <w:rPr>
                <w:sz w:val="1"/>
                <w:szCs w:val="1"/>
                <w:color w:val="auto"/>
              </w:rPr>
            </w:pPr>
          </w:p>
        </w:tc>
      </w:tr>
      <w:tr>
        <w:trPr>
          <w:trHeight w:val="217"/>
        </w:trPr>
        <w:tc>
          <w:tcPr>
            <w:tcW w:w="8340" w:type="dxa"/>
            <w:vAlign w:val="bottom"/>
          </w:tcPr>
          <w:p>
            <w:pPr>
              <w:ind w:left="146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22,036,245</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21,143,276</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314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159,629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162,397</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Accrued interest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66,975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66,943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322,623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279,882</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Other accrued liabilities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199,923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182,081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maturities of debt and other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113,335</w:t>
            </w:r>
          </w:p>
        </w:tc>
        <w:tc>
          <w:tcPr>
            <w:tcW w:w="0" w:type="dxa"/>
            <w:vAlign w:val="bottom"/>
          </w:tcPr>
          <w:p>
            <w:pPr>
              <w:spacing w:after="0"/>
              <w:rPr>
                <w:sz w:val="1"/>
                <w:szCs w:val="1"/>
                <w:color w:val="auto"/>
              </w:rPr>
            </w:pPr>
          </w:p>
        </w:tc>
      </w:tr>
      <w:tr>
        <w:trPr>
          <w:trHeight w:val="224"/>
        </w:trPr>
        <w:tc>
          <w:tcPr>
            <w:tcW w:w="8340" w:type="dxa"/>
            <w:vAlign w:val="bottom"/>
          </w:tcPr>
          <w:p>
            <w:pPr>
              <w:ind w:left="500"/>
              <w:spacing w:after="0"/>
              <w:rPr>
                <w:sz w:val="20"/>
                <w:szCs w:val="20"/>
                <w:color w:val="auto"/>
              </w:rPr>
            </w:pPr>
            <w:r>
              <w:rPr>
                <w:rFonts w:ascii="Arial" w:cs="Arial" w:eastAsia="Arial" w:hAnsi="Arial"/>
                <w:sz w:val="16"/>
                <w:szCs w:val="16"/>
                <w:color w:val="auto"/>
              </w:rPr>
              <w:t>Liabilities from discontinued operations (see note 3)</w:t>
            </w: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127,493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855,369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932,131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Debt and other long-term obligations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12,143,019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11,807,526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1,948,636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1,666,391</w:t>
            </w:r>
          </w:p>
        </w:tc>
        <w:tc>
          <w:tcPr>
            <w:tcW w:w="0" w:type="dxa"/>
            <w:vAlign w:val="bottom"/>
          </w:tcPr>
          <w:p>
            <w:pPr>
              <w:spacing w:after="0"/>
              <w:rPr>
                <w:sz w:val="1"/>
                <w:szCs w:val="1"/>
                <w:color w:val="auto"/>
              </w:rPr>
            </w:pPr>
          </w:p>
        </w:tc>
      </w:tr>
      <w:tr>
        <w:trPr>
          <w:trHeight w:val="217"/>
        </w:trPr>
        <w:tc>
          <w:tcPr>
            <w:tcW w:w="8340" w:type="dxa"/>
            <w:vAlign w:val="bottom"/>
          </w:tcPr>
          <w:p>
            <w:pPr>
              <w:ind w:left="146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14,947,024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14,406,048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14)</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CCIC stockholders' equity:</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3"/>
              </w:rPr>
              <w:t>Common stock, $.01 par value; 600,000,000 shares authorized; shares issued and outstanding: December 31, 2015—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333,771,660 and December 31, 2014—333,856,632</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20"/>
        </w:trPr>
        <w:tc>
          <w:tcPr>
            <w:tcW w:w="8340" w:type="dxa"/>
            <w:vAlign w:val="bottom"/>
          </w:tcPr>
          <w:p>
            <w:pPr>
              <w:ind w:left="500"/>
              <w:spacing w:after="0"/>
              <w:rPr>
                <w:sz w:val="20"/>
                <w:szCs w:val="20"/>
                <w:color w:val="auto"/>
              </w:rPr>
            </w:pPr>
            <w:r>
              <w:rPr>
                <w:rFonts w:ascii="Arial" w:cs="Arial" w:eastAsia="Arial" w:hAnsi="Arial"/>
                <w:sz w:val="16"/>
                <w:szCs w:val="16"/>
                <w:color w:val="auto"/>
                <w:w w:val="93"/>
              </w:rPr>
              <w:t>4.50% Mandatory Convertible Preferred Stock, Series A, $.01 par value; 20,000,000 shares authorized; shares issued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660"/>
              <w:spacing w:after="0"/>
              <w:rPr>
                <w:sz w:val="20"/>
                <w:szCs w:val="20"/>
                <w:color w:val="auto"/>
              </w:rPr>
            </w:pPr>
            <w:r>
              <w:rPr>
                <w:rFonts w:ascii="Arial" w:cs="Arial" w:eastAsia="Arial" w:hAnsi="Arial"/>
                <w:sz w:val="16"/>
                <w:szCs w:val="16"/>
                <w:color w:val="auto"/>
                <w:w w:val="95"/>
              </w:rPr>
              <w:t>and outstanding: December 31, 2015 and 2014—9,775,000; aggregate liquidation value: December 31, 2015 and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660"/>
              <w:spacing w:after="0"/>
              <w:rPr>
                <w:sz w:val="20"/>
                <w:szCs w:val="20"/>
                <w:color w:val="auto"/>
              </w:rPr>
            </w:pPr>
            <w:r>
              <w:rPr>
                <w:rFonts w:ascii="Arial" w:cs="Arial" w:eastAsia="Arial" w:hAnsi="Arial"/>
                <w:sz w:val="16"/>
                <w:szCs w:val="16"/>
                <w:color w:val="auto"/>
              </w:rPr>
              <w:t>2014—$977,500</w:t>
            </w:r>
          </w:p>
        </w:tc>
        <w:tc>
          <w:tcPr>
            <w:tcW w:w="3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9,548,580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9,512,396</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15,820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Dividends/distributions in excess of earnings</w:t>
            </w:r>
          </w:p>
        </w:tc>
        <w:tc>
          <w:tcPr>
            <w:tcW w:w="36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(2,458,397)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(2,815,428)</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1460"/>
              <w:spacing w:after="0"/>
              <w:rPr>
                <w:sz w:val="20"/>
                <w:szCs w:val="20"/>
                <w:color w:val="auto"/>
              </w:rPr>
            </w:pPr>
            <w:r>
              <w:rPr>
                <w:rFonts w:ascii="Arial" w:cs="Arial" w:eastAsia="Arial" w:hAnsi="Arial"/>
                <w:sz w:val="16"/>
                <w:szCs w:val="16"/>
                <w:color w:val="auto"/>
              </w:rPr>
              <w:t>Total CCIC stockholders' equity</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7,089,221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6,716,225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Noncontrolling interest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21,003</w:t>
            </w:r>
          </w:p>
        </w:tc>
        <w:tc>
          <w:tcPr>
            <w:tcW w:w="0" w:type="dxa"/>
            <w:vAlign w:val="bottom"/>
          </w:tcPr>
          <w:p>
            <w:pPr>
              <w:spacing w:after="0"/>
              <w:rPr>
                <w:sz w:val="1"/>
                <w:szCs w:val="1"/>
                <w:color w:val="auto"/>
              </w:rPr>
            </w:pPr>
          </w:p>
        </w:tc>
      </w:tr>
      <w:tr>
        <w:trPr>
          <w:trHeight w:val="217"/>
        </w:trPr>
        <w:tc>
          <w:tcPr>
            <w:tcW w:w="8340" w:type="dxa"/>
            <w:vAlign w:val="bottom"/>
          </w:tcPr>
          <w:p>
            <w:pPr>
              <w:ind w:left="1460"/>
              <w:spacing w:after="0"/>
              <w:rPr>
                <w:sz w:val="20"/>
                <w:szCs w:val="20"/>
                <w:color w:val="auto"/>
              </w:rPr>
            </w:pPr>
            <w:r>
              <w:rPr>
                <w:rFonts w:ascii="Arial" w:cs="Arial" w:eastAsia="Arial" w:hAnsi="Arial"/>
                <w:sz w:val="16"/>
                <w:szCs w:val="16"/>
                <w:color w:val="auto"/>
              </w:rPr>
              <w:t>Total equity</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7,089,221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6,737,228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22,036,245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21,143,276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1" w:right="239" w:bottom="1440" w:gutter="0" w:footer="0" w:header="0"/>
          <w:type w:val="continuous"/>
        </w:sectPr>
      </w:pPr>
    </w:p>
    <w:bookmarkStart w:id="48" w:name="page49"/>
    <w:bookmarkEnd w:id="48"/>
    <w:p>
      <w:pPr>
        <w:jc w:val="center"/>
        <w:ind w:left="1892" w:right="1880"/>
        <w:spacing w:after="0" w:line="266" w:lineRule="auto"/>
        <w:rPr>
          <w:sz w:val="20"/>
          <w:szCs w:val="20"/>
          <w:color w:val="auto"/>
        </w:rPr>
      </w:pPr>
      <w:r>
        <w:rPr>
          <w:rFonts w:ascii="Arial" w:cs="Arial" w:eastAsia="Arial" w:hAnsi="Arial"/>
          <w:sz w:val="18"/>
          <w:szCs w:val="18"/>
          <w:b w:val="1"/>
          <w:bCs w:val="1"/>
          <w:color w:val="auto"/>
        </w:rPr>
        <w:t>CROWN CASTLE INTERNATIONAL CORP. AND SUBSIDIARIES CONSOLIDATED STATEMENT OF OPERATIONS AND COMPREHENSIVE INCOME (LOSS) (In thousands of dollars, except per share amounts)</w:t>
      </w:r>
    </w:p>
    <w:p>
      <w:pPr>
        <w:sectPr>
          <w:pgSz w:w="11900" w:h="16838" w:orient="portrait"/>
          <w:cols w:equalWidth="0" w:num="1">
            <w:col w:w="11412"/>
          </w:cols>
          <w:pgMar w:left="248" w:top="121" w:right="239" w:bottom="366" w:gutter="0" w:footer="0" w:header="0"/>
        </w:sectPr>
      </w:pPr>
    </w:p>
    <w:p>
      <w:pPr>
        <w:spacing w:after="0" w:line="200" w:lineRule="exact"/>
        <w:rPr>
          <w:sz w:val="20"/>
          <w:szCs w:val="20"/>
          <w:color w:val="auto"/>
        </w:rPr>
      </w:pPr>
    </w:p>
    <w:p>
      <w:pPr>
        <w:spacing w:after="0" w:line="394" w:lineRule="exact"/>
        <w:rPr>
          <w:sz w:val="20"/>
          <w:szCs w:val="20"/>
          <w:color w:val="auto"/>
        </w:rPr>
      </w:pPr>
    </w:p>
    <w:p>
      <w:pPr>
        <w:ind w:left="32"/>
        <w:spacing w:after="0"/>
        <w:rPr>
          <w:sz w:val="20"/>
          <w:szCs w:val="20"/>
          <w:color w:val="auto"/>
        </w:rPr>
      </w:pPr>
      <w:r>
        <w:rPr>
          <w:rFonts w:ascii="Arial" w:cs="Arial" w:eastAsia="Arial" w:hAnsi="Arial"/>
          <w:sz w:val="14"/>
          <w:szCs w:val="14"/>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tbl>
      <w:tblPr>
        <w:tblLayout w:type="fixed"/>
        <w:tblInd w:w="32" w:type="dxa"/>
        <w:tblCellMar>
          <w:top w:w="0" w:type="dxa"/>
          <w:left w:w="0" w:type="dxa"/>
          <w:bottom w:w="0" w:type="dxa"/>
          <w:right w:w="0" w:type="dxa"/>
        </w:tblCellMar>
      </w:tblPr>
      <w:tr>
        <w:trPr>
          <w:trHeight w:val="182"/>
        </w:trPr>
        <w:tc>
          <w:tcPr>
            <w:tcW w:w="5580" w:type="dxa"/>
            <w:vAlign w:val="bottom"/>
          </w:tcPr>
          <w:p>
            <w:pPr>
              <w:ind w:left="460"/>
              <w:spacing w:after="0"/>
              <w:rPr>
                <w:sz w:val="20"/>
                <w:szCs w:val="20"/>
                <w:color w:val="auto"/>
              </w:rPr>
            </w:pPr>
            <w:r>
              <w:rPr>
                <w:rFonts w:ascii="Arial" w:cs="Arial" w:eastAsia="Arial" w:hAnsi="Arial"/>
                <w:sz w:val="14"/>
                <w:szCs w:val="14"/>
                <w:color w:val="auto"/>
              </w:rPr>
              <w:t>Site rental</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60"/>
              <w:spacing w:after="0"/>
              <w:rPr>
                <w:sz w:val="20"/>
                <w:szCs w:val="20"/>
                <w:color w:val="auto"/>
              </w:rPr>
            </w:pPr>
            <w:r>
              <w:rPr>
                <w:rFonts w:ascii="Arial" w:cs="Arial" w:eastAsia="Arial" w:hAnsi="Arial"/>
                <w:sz w:val="14"/>
                <w:szCs w:val="14"/>
                <w:color w:val="auto"/>
              </w:rPr>
              <w:t>Network services and other</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5580" w:type="dxa"/>
            <w:vAlign w:val="bottom"/>
          </w:tcPr>
          <w:p>
            <w:pPr>
              <w:spacing w:after="0"/>
              <w:rPr>
                <w:sz w:val="20"/>
                <w:szCs w:val="20"/>
                <w:color w:val="auto"/>
              </w:rPr>
            </w:pPr>
            <w:r>
              <w:rPr>
                <w:rFonts w:ascii="Arial" w:cs="Arial" w:eastAsia="Arial" w:hAnsi="Arial"/>
                <w:sz w:val="14"/>
                <w:szCs w:val="14"/>
                <w:color w:val="auto"/>
              </w:rPr>
              <w:t>Operating expenses: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Costs of operations</w:t>
            </w:r>
            <w:r>
              <w:rPr>
                <w:rFonts w:ascii="Arial" w:cs="Arial" w:eastAsia="Arial" w:hAnsi="Arial"/>
                <w:sz w:val="8"/>
                <w:szCs w:val="8"/>
                <w:color w:val="auto"/>
              </w:rPr>
              <w:t>(a)</w:t>
            </w:r>
            <w:r>
              <w:rPr>
                <w:rFonts w:ascii="Arial" w:cs="Arial" w:eastAsia="Arial" w:hAnsi="Arial"/>
                <w:sz w:val="14"/>
                <w:szCs w:val="14"/>
                <w:color w:val="auto"/>
              </w:rPr>
              <w: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880"/>
              <w:spacing w:after="0"/>
              <w:rPr>
                <w:sz w:val="20"/>
                <w:szCs w:val="20"/>
                <w:color w:val="auto"/>
              </w:rPr>
            </w:pPr>
            <w:r>
              <w:rPr>
                <w:rFonts w:ascii="Arial" w:cs="Arial" w:eastAsia="Arial" w:hAnsi="Arial"/>
                <w:sz w:val="14"/>
                <w:szCs w:val="14"/>
                <w:color w:val="auto"/>
              </w:rPr>
              <w:t>Site rental</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880"/>
              <w:spacing w:after="0"/>
              <w:rPr>
                <w:sz w:val="20"/>
                <w:szCs w:val="20"/>
                <w:color w:val="auto"/>
              </w:rPr>
            </w:pPr>
            <w:r>
              <w:rPr>
                <w:rFonts w:ascii="Arial" w:cs="Arial" w:eastAsia="Arial" w:hAnsi="Arial"/>
                <w:sz w:val="14"/>
                <w:szCs w:val="14"/>
                <w:color w:val="auto"/>
              </w:rPr>
              <w:t>Network services and other</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General and administrative</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Asset write-down charges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Acquisition and integration costs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Depreciation, amortization and accretion</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Total operating expenses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Operating income (loss)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Interest expense and amortization of deferred financing costs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Gains (losses) on retirement of long-term obligations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Interest income</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Other income (expense)</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Income (loss) from continuing operations before income taxes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Benefit (provision) for income taxes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Income (loss) from continuing operations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Discontinued operations (see note 3):</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Income (loss) from discontinued operations, net of tax</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Net gain (loss) from disposal of discontinued operations, net of tax</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Income (loss) from discontinued operations, net of tax</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Net income (loss)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Less: Net income (loss) attributable to the noncontrolling interest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Net income (loss) attributable to CCIC stockholders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Dividends on preferred stock</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Net income (loss) attributable to CCIC common stockholders</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Net income (loss)</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460"/>
              <w:spacing w:after="0"/>
              <w:rPr>
                <w:sz w:val="20"/>
                <w:szCs w:val="20"/>
                <w:color w:val="auto"/>
              </w:rPr>
            </w:pPr>
            <w:r>
              <w:rPr>
                <w:rFonts w:ascii="Arial" w:cs="Arial" w:eastAsia="Arial" w:hAnsi="Arial"/>
                <w:sz w:val="14"/>
                <w:szCs w:val="14"/>
                <w:color w:val="auto"/>
              </w:rPr>
              <w:t>Interest rate swaps reclassified into results of operations, net of taxes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-5266055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-4922520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-4579620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-4236720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-3893820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-3207385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-2864485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-1835785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-1149350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-1492250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-2178685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-2521585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-3550920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492"/>
        <w:spacing w:after="0"/>
        <w:rPr>
          <w:sz w:val="20"/>
          <w:szCs w:val="20"/>
          <w:color w:val="auto"/>
        </w:rPr>
      </w:pPr>
      <w:r>
        <w:rPr>
          <w:rFonts w:ascii="Arial" w:cs="Arial" w:eastAsia="Arial" w:hAnsi="Arial"/>
          <w:sz w:val="14"/>
          <w:szCs w:val="14"/>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92"/>
        <w:spacing w:after="0"/>
        <w:rPr>
          <w:sz w:val="20"/>
          <w:szCs w:val="20"/>
          <w:color w:val="auto"/>
        </w:rPr>
      </w:pPr>
      <w:r>
        <w:rPr>
          <w:rFonts w:ascii="Arial" w:cs="Arial" w:eastAsia="Arial" w:hAnsi="Arial"/>
          <w:sz w:val="13"/>
          <w:szCs w:val="13"/>
          <w:color w:val="auto"/>
        </w:rPr>
        <w:t>Amounts reclassified into discontinued operations for foreign currency translation adjustments (see note 3)</w:t>
      </w:r>
    </w:p>
    <w:p>
      <w:pPr>
        <w:spacing w:after="0" w:line="121" w:lineRule="exact"/>
        <w:rPr>
          <w:sz w:val="20"/>
          <w:szCs w:val="20"/>
          <w:color w:val="auto"/>
        </w:rPr>
      </w:pPr>
    </w:p>
    <w:p>
      <w:pPr>
        <w:ind w:left="492"/>
        <w:spacing w:after="0"/>
        <w:rPr>
          <w:sz w:val="20"/>
          <w:szCs w:val="20"/>
          <w:color w:val="auto"/>
        </w:rPr>
      </w:pPr>
      <w:r>
        <w:rPr>
          <w:rFonts w:ascii="Arial" w:cs="Arial" w:eastAsia="Arial" w:hAnsi="Arial"/>
          <w:sz w:val="14"/>
          <w:szCs w:val="14"/>
          <w:color w:val="auto"/>
        </w:rPr>
        <w:t>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32" w:type="dxa"/>
        <w:tblCellMar>
          <w:top w:w="0" w:type="dxa"/>
          <w:left w:w="0" w:type="dxa"/>
          <w:bottom w:w="0" w:type="dxa"/>
          <w:right w:w="0" w:type="dxa"/>
        </w:tblCellMar>
      </w:tblPr>
      <w:tr>
        <w:trPr>
          <w:trHeight w:val="182"/>
        </w:trPr>
        <w:tc>
          <w:tcPr>
            <w:tcW w:w="582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4"/>
                <w:szCs w:val="14"/>
                <w:color w:val="auto"/>
              </w:rPr>
              <w:t>Comprehensive income (loss) attributable to CCIC stockholders</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4"/>
                <w:szCs w:val="14"/>
                <w:color w:val="auto"/>
              </w:rPr>
              <w:t>Net income (loss) attributable to CCIC common stockholders, per common share: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820" w:type="dxa"/>
            <w:vAlign w:val="bottom"/>
          </w:tcPr>
          <w:p>
            <w:pPr>
              <w:ind w:left="880"/>
              <w:spacing w:after="0"/>
              <w:rPr>
                <w:sz w:val="20"/>
                <w:szCs w:val="20"/>
                <w:color w:val="auto"/>
              </w:rPr>
            </w:pPr>
            <w:r>
              <w:rPr>
                <w:rFonts w:ascii="Arial" w:cs="Arial" w:eastAsia="Arial" w:hAnsi="Arial"/>
                <w:sz w:val="14"/>
                <w:szCs w:val="14"/>
                <w:color w:val="auto"/>
              </w:rPr>
              <w:t>Income (loss) from continuing operations, basic</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8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880"/>
              <w:spacing w:after="0"/>
              <w:rPr>
                <w:sz w:val="20"/>
                <w:szCs w:val="20"/>
                <w:color w:val="auto"/>
              </w:rPr>
            </w:pPr>
            <w:r>
              <w:rPr>
                <w:rFonts w:ascii="Arial" w:cs="Arial" w:eastAsia="Arial" w:hAnsi="Arial"/>
                <w:sz w:val="14"/>
                <w:szCs w:val="14"/>
                <w:color w:val="auto"/>
              </w:rPr>
              <w:t>Income (loss) from discontinued operations, basic</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8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880"/>
              <w:spacing w:after="0"/>
              <w:rPr>
                <w:sz w:val="20"/>
                <w:szCs w:val="20"/>
                <w:color w:val="auto"/>
              </w:rPr>
            </w:pPr>
            <w:r>
              <w:rPr>
                <w:rFonts w:ascii="Arial" w:cs="Arial" w:eastAsia="Arial" w:hAnsi="Arial"/>
                <w:sz w:val="14"/>
                <w:szCs w:val="14"/>
                <w:color w:val="auto"/>
              </w:rPr>
              <w:t>Net income (loss) attributable to CCIC common stockholders, basic</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4"/>
                <w:szCs w:val="14"/>
                <w:color w:val="auto"/>
              </w:rPr>
              <w:t>Income (loss) from continuing operations, diluted</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8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880"/>
              <w:spacing w:after="0"/>
              <w:rPr>
                <w:sz w:val="20"/>
                <w:szCs w:val="20"/>
                <w:color w:val="auto"/>
              </w:rPr>
            </w:pPr>
            <w:r>
              <w:rPr>
                <w:rFonts w:ascii="Arial" w:cs="Arial" w:eastAsia="Arial" w:hAnsi="Arial"/>
                <w:sz w:val="14"/>
                <w:szCs w:val="14"/>
                <w:color w:val="auto"/>
              </w:rPr>
              <w:t>Income (loss) from discontinued operations, diluted</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8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880"/>
              <w:spacing w:after="0"/>
              <w:rPr>
                <w:sz w:val="20"/>
                <w:szCs w:val="20"/>
                <w:color w:val="auto"/>
              </w:rPr>
            </w:pPr>
            <w:r>
              <w:rPr>
                <w:rFonts w:ascii="Arial" w:cs="Arial" w:eastAsia="Arial" w:hAnsi="Arial"/>
                <w:sz w:val="14"/>
                <w:szCs w:val="14"/>
                <w:color w:val="auto"/>
              </w:rPr>
              <w:t>Net income (loss) attributable to CCIC common stockholders, diluted</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4"/>
                <w:szCs w:val="14"/>
                <w:color w:val="auto"/>
              </w:rPr>
              <w:t>Weighted-average common shares outstanding (in thousands):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820" w:type="dxa"/>
            <w:vAlign w:val="bottom"/>
          </w:tcPr>
          <w:p>
            <w:pPr>
              <w:ind w:left="880"/>
              <w:spacing w:after="0"/>
              <w:rPr>
                <w:sz w:val="20"/>
                <w:szCs w:val="20"/>
                <w:color w:val="auto"/>
              </w:rPr>
            </w:pPr>
            <w:r>
              <w:rPr>
                <w:rFonts w:ascii="Arial" w:cs="Arial" w:eastAsia="Arial" w:hAnsi="Arial"/>
                <w:sz w:val="14"/>
                <w:szCs w:val="14"/>
                <w:color w:val="auto"/>
              </w:rPr>
              <w:t>Basic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880"/>
              <w:spacing w:after="0"/>
              <w:rPr>
                <w:sz w:val="20"/>
                <w:szCs w:val="20"/>
                <w:color w:val="auto"/>
              </w:rPr>
            </w:pPr>
            <w:r>
              <w:rPr>
                <w:rFonts w:ascii="Arial" w:cs="Arial" w:eastAsia="Arial" w:hAnsi="Arial"/>
                <w:sz w:val="14"/>
                <w:szCs w:val="14"/>
                <w:color w:val="auto"/>
              </w:rPr>
              <w:t>Diluted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4"/>
                <w:szCs w:val="14"/>
                <w:color w:val="auto"/>
              </w:rPr>
              <w:t>Dividends/distributions declared per share</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8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-1724025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-1038225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-334645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-694690</wp:posOffset>
            </wp:positionV>
            <wp:extent cx="72466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-1381125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-2084070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93345</wp:posOffset>
            </wp:positionV>
            <wp:extent cx="914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40" w:lineRule="exact"/>
        <w:rPr>
          <w:sz w:val="20"/>
          <w:szCs w:val="20"/>
          <w:color w:val="auto"/>
        </w:rPr>
      </w:pPr>
    </w:p>
    <w:p>
      <w:pPr>
        <w:ind w:left="332" w:hanging="332"/>
        <w:spacing w:after="0"/>
        <w:tabs>
          <w:tab w:leader="none" w:pos="332"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 shown separately.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60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19685</wp:posOffset>
            </wp:positionV>
            <wp:extent cx="29673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80" w:val="left"/>
          <w:tab w:leader="none" w:pos="316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r>
        <w:rPr>
          <w:sz w:val="20"/>
          <w:szCs w:val="20"/>
          <w:color w:val="auto"/>
        </w:rPr>
        <w:tab/>
      </w:r>
      <w:r>
        <w:rPr>
          <w:rFonts w:ascii="Arial" w:cs="Arial" w:eastAsia="Arial" w:hAnsi="Arial"/>
          <w:sz w:val="11"/>
          <w:szCs w:val="11"/>
          <w:b w:val="1"/>
          <w:bCs w:val="1"/>
          <w:color w:val="auto"/>
        </w:rPr>
        <w:t>2013</w:t>
      </w:r>
    </w:p>
    <w:p>
      <w:pPr>
        <w:spacing w:after="0" w:line="390"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3,018,413</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2,866,613</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2,371,380</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645,438</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672,143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494,371</w:t>
            </w:r>
          </w:p>
        </w:tc>
      </w:tr>
      <w:tr>
        <w:trPr>
          <w:trHeight w:val="244"/>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3,663,851</w:t>
            </w:r>
          </w:p>
        </w:tc>
        <w:tc>
          <w:tcPr>
            <w:tcW w:w="46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3,538,756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2,865,751</w:t>
            </w:r>
          </w:p>
        </w:tc>
      </w:tr>
      <w:tr>
        <w:trPr>
          <w:trHeight w:val="81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963,869</w:t>
            </w:r>
          </w:p>
        </w:tc>
        <w:tc>
          <w:tcPr>
            <w:tcW w:w="4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906,152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686,873</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357,557</w:t>
            </w:r>
          </w:p>
        </w:tc>
        <w:tc>
          <w:tcPr>
            <w:tcW w:w="46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400,454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304,144</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310,921</w:t>
            </w:r>
          </w:p>
        </w:tc>
        <w:tc>
          <w:tcPr>
            <w:tcW w:w="46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257,296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213,519</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33,468</w:t>
            </w:r>
          </w:p>
        </w:tc>
        <w:tc>
          <w:tcPr>
            <w:tcW w:w="46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14,246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13,595</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15,678</w:t>
            </w:r>
          </w:p>
        </w:tc>
        <w:tc>
          <w:tcPr>
            <w:tcW w:w="46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34,145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25,574</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1,036,178</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985,781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741,342</w:t>
            </w:r>
          </w:p>
        </w:tc>
      </w:tr>
      <w:tr>
        <w:trPr>
          <w:trHeight w:val="250"/>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2,717,671</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2,598,074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1,985,047</w:t>
            </w:r>
          </w:p>
        </w:tc>
      </w:tr>
      <w:tr>
        <w:trPr>
          <w:trHeight w:val="244"/>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946,180</w:t>
            </w:r>
          </w:p>
        </w:tc>
        <w:tc>
          <w:tcPr>
            <w:tcW w:w="46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940,682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880,704</w:t>
            </w:r>
          </w:p>
        </w:tc>
      </w:tr>
      <w:tr>
        <w:trPr>
          <w:trHeight w:val="270"/>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(527,128)</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(573,291)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(589,630)</w:t>
            </w:r>
          </w:p>
        </w:tc>
      </w:tr>
      <w:tr>
        <w:trPr>
          <w:trHeight w:val="270"/>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(4,157)</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(44,629)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(37,127)</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1,906</w:t>
            </w:r>
          </w:p>
        </w:tc>
        <w:tc>
          <w:tcPr>
            <w:tcW w:w="46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956</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57,028</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11,993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(3,902)</w:t>
            </w:r>
          </w:p>
        </w:tc>
      </w:tr>
      <w:tr>
        <w:trPr>
          <w:trHeight w:val="244"/>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473,829</w:t>
            </w:r>
          </w:p>
        </w:tc>
        <w:tc>
          <w:tcPr>
            <w:tcW w:w="46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335,070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251,001</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51,457</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11,244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(191,000)</w:t>
            </w:r>
          </w:p>
        </w:tc>
      </w:tr>
      <w:tr>
        <w:trPr>
          <w:trHeight w:val="244"/>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525,286</w:t>
            </w:r>
          </w:p>
        </w:tc>
        <w:tc>
          <w:tcPr>
            <w:tcW w:w="46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346,314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60,001</w:t>
            </w:r>
          </w:p>
        </w:tc>
      </w:tr>
      <w:tr>
        <w:trPr>
          <w:trHeight w:val="54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19,690</w:t>
            </w:r>
          </w:p>
        </w:tc>
        <w:tc>
          <w:tcPr>
            <w:tcW w:w="4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52,460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33,900</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979,359</w:t>
            </w:r>
          </w:p>
        </w:tc>
        <w:tc>
          <w:tcPr>
            <w:tcW w:w="46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999,049</w:t>
            </w:r>
          </w:p>
        </w:tc>
        <w:tc>
          <w:tcPr>
            <w:tcW w:w="4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52,460</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33,900</w:t>
            </w:r>
          </w:p>
        </w:tc>
      </w:tr>
      <w:tr>
        <w:trPr>
          <w:trHeight w:val="244"/>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1,524,335</w:t>
            </w:r>
          </w:p>
        </w:tc>
        <w:tc>
          <w:tcPr>
            <w:tcW w:w="46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398,774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93,901</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3,343</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3,790</w:t>
            </w:r>
          </w:p>
        </w:tc>
      </w:tr>
      <w:tr>
        <w:trPr>
          <w:trHeight w:val="244"/>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1,520,992</w:t>
            </w:r>
          </w:p>
        </w:tc>
        <w:tc>
          <w:tcPr>
            <w:tcW w:w="46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390,513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90,111</w:t>
            </w:r>
          </w:p>
        </w:tc>
      </w:tr>
      <w:tr>
        <w:trPr>
          <w:trHeight w:val="276"/>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(43,988)</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(43,988)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(11,363)</w:t>
            </w:r>
          </w:p>
        </w:tc>
      </w:tr>
      <w:tr>
        <w:trPr>
          <w:trHeight w:val="237"/>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1,477,004</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346,525</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78,748</w:t>
            </w:r>
          </w:p>
        </w:tc>
      </w:tr>
      <w:tr>
        <w:trPr>
          <w:trHeight w:val="20"/>
        </w:trPr>
        <w:tc>
          <w:tcPr>
            <w:tcW w:w="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1,524,335</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398,774</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93,901</w:t>
            </w:r>
          </w:p>
        </w:tc>
      </w:tr>
      <w:tr>
        <w:trPr>
          <w:trHeight w:val="54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18,725</w:t>
            </w:r>
          </w:p>
        </w:tc>
        <w:tc>
          <w:tcPr>
            <w:tcW w:w="4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63,148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82,043</w:t>
            </w:r>
          </w:p>
        </w:tc>
      </w:tr>
      <w:tr>
        <w:trPr>
          <w:trHeight w:val="270"/>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(14,137)</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(25,432)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(45,714)</w:t>
            </w:r>
          </w:p>
        </w:tc>
      </w:tr>
      <w:tr>
        <w:trPr>
          <w:trHeight w:val="276"/>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(25,678)</w:t>
            </w:r>
          </w:p>
        </w:tc>
        <w:tc>
          <w:tcPr>
            <w:tcW w:w="46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(21,090)</w:t>
            </w:r>
          </w:p>
        </w:tc>
        <w:tc>
          <w:tcPr>
            <w:tcW w:w="4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37,716</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36,329</w:t>
            </w:r>
          </w:p>
        </w:tc>
      </w:tr>
      <w:tr>
        <w:trPr>
          <w:trHeight w:val="244"/>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1,503,245</w:t>
            </w:r>
          </w:p>
        </w:tc>
        <w:tc>
          <w:tcPr>
            <w:tcW w:w="46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436,490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130,230</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1,940</w:t>
            </w:r>
          </w:p>
        </w:tc>
      </w:tr>
      <w:tr>
        <w:trPr>
          <w:trHeight w:val="237"/>
        </w:trPr>
        <w:tc>
          <w:tcPr>
            <w:tcW w:w="820" w:type="dxa"/>
            <w:vAlign w:val="bottom"/>
          </w:tcPr>
          <w:p>
            <w:pPr>
              <w:jc w:val="right"/>
              <w:ind w:right="168"/>
              <w:spacing w:after="0"/>
              <w:rPr>
                <w:sz w:val="20"/>
                <w:szCs w:val="20"/>
                <w:color w:val="auto"/>
              </w:rPr>
            </w:pPr>
            <w:r>
              <w:rPr>
                <w:rFonts w:ascii="Arial" w:cs="Arial" w:eastAsia="Arial" w:hAnsi="Arial"/>
                <w:sz w:val="14"/>
                <w:szCs w:val="14"/>
                <w:color w:val="auto"/>
                <w:w w:val="89"/>
              </w:rPr>
              <w:t>1,503,245</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429,945</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128,290</w:t>
            </w:r>
          </w:p>
        </w:tc>
      </w:tr>
      <w:tr>
        <w:trPr>
          <w:trHeight w:val="20"/>
        </w:trPr>
        <w:tc>
          <w:tcPr>
            <w:tcW w:w="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15"/>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1.45</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0.16</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2.99</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r>
      <w:tr>
        <w:trPr>
          <w:trHeight w:val="237"/>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4.44</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0.26</w:t>
            </w:r>
          </w:p>
        </w:tc>
      </w:tr>
      <w:tr>
        <w:trPr>
          <w:trHeight w:val="20"/>
        </w:trPr>
        <w:tc>
          <w:tcPr>
            <w:tcW w:w="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1.44</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0.16</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2.98</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r>
      <w:tr>
        <w:trPr>
          <w:trHeight w:val="237"/>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4.42</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0.26</w:t>
            </w:r>
          </w:p>
        </w:tc>
      </w:tr>
      <w:tr>
        <w:trPr>
          <w:trHeight w:val="20"/>
        </w:trPr>
        <w:tc>
          <w:tcPr>
            <w:tcW w:w="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15"/>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333,002</w:t>
            </w:r>
          </w:p>
        </w:tc>
        <w:tc>
          <w:tcPr>
            <w:tcW w:w="4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332,302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298,083</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334,062</w:t>
            </w:r>
          </w:p>
        </w:tc>
        <w:tc>
          <w:tcPr>
            <w:tcW w:w="46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333,265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299,293</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3.35</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-703580</wp:posOffset>
            </wp:positionV>
            <wp:extent cx="951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-866775</wp:posOffset>
            </wp:positionV>
            <wp:extent cx="951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-1200785</wp:posOffset>
            </wp:positionV>
            <wp:extent cx="951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-1904365</wp:posOffset>
            </wp:positionV>
            <wp:extent cx="951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-2599055</wp:posOffset>
            </wp:positionV>
            <wp:extent cx="951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-3465195</wp:posOffset>
            </wp:positionV>
            <wp:extent cx="951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-3627755</wp:posOffset>
            </wp:positionV>
            <wp:extent cx="951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-3970655</wp:posOffset>
            </wp:positionV>
            <wp:extent cx="951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-4314190</wp:posOffset>
            </wp:positionV>
            <wp:extent cx="951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-6372225</wp:posOffset>
            </wp:positionV>
            <wp:extent cx="951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-8087360</wp:posOffset>
            </wp:positionV>
            <wp:extent cx="951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6832" w:space="540"/>
            <w:col w:w="4040"/>
          </w:cols>
          <w:pgMar w:left="248" w:top="121" w:right="239" w:bottom="366" w:gutter="0" w:footer="0" w:header="0"/>
          <w:type w:val="continuous"/>
        </w:sectPr>
      </w:pPr>
    </w:p>
    <w:p>
      <w:pPr>
        <w:jc w:val="center"/>
        <w:ind w:right="-11"/>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12"/>
          </w:cols>
          <w:pgMar w:left="248" w:top="121" w:right="239" w:bottom="366" w:gutter="0" w:footer="0" w:header="0"/>
          <w:type w:val="continuous"/>
        </w:sectPr>
      </w:pPr>
    </w:p>
    <w:p>
      <w:pPr>
        <w:spacing w:after="0" w:line="263"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12"/>
          </w:cols>
          <w:pgMar w:left="248" w:top="121" w:right="239" w:bottom="366"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CROWN CASTLE INTERNATIONAL CORP.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ectPr>
          <w:pgSz w:w="11900" w:h="16838" w:orient="portrait"/>
          <w:cols w:equalWidth="0" w:num="1">
            <w:col w:w="11420"/>
          </w:cols>
          <w:pgMar w:left="240" w:top="121" w:right="2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ind w:left="180"/>
        <w:spacing w:after="0"/>
        <w:tabs>
          <w:tab w:leader="none" w:pos="6980" w:val="left"/>
        </w:tabs>
        <w:rPr>
          <w:sz w:val="20"/>
          <w:szCs w:val="20"/>
          <w:color w:val="auto"/>
        </w:rPr>
      </w:pPr>
      <w:r>
        <w:rPr>
          <w:rFonts w:ascii="Arial" w:cs="Arial" w:eastAsia="Arial" w:hAnsi="Arial"/>
          <w:sz w:val="16"/>
          <w:szCs w:val="16"/>
          <w:color w:val="auto"/>
        </w:rPr>
        <w:t>Net income (loss) from continuing operations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Depreciation, amortization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Gains (losses) on retirement of long-term obligations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Gains (losses) on settled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deferred financing costs and other non-cash interest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Asset write-down charges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income tax benefit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non-cash adjustments,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assets and liabilities, excluding the effects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Increase (decrease) in accrued interest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Increase (decrease)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880" w:right="700" w:hanging="161"/>
        <w:spacing w:after="0" w:line="293" w:lineRule="auto"/>
        <w:rPr>
          <w:sz w:val="20"/>
          <w:szCs w:val="20"/>
          <w:color w:val="auto"/>
        </w:rPr>
      </w:pPr>
      <w:r>
        <w:rPr>
          <w:rFonts w:ascii="Arial" w:cs="Arial" w:eastAsia="Arial" w:hAnsi="Arial"/>
          <w:sz w:val="16"/>
          <w:szCs w:val="16"/>
          <w:color w:val="auto"/>
        </w:rPr>
        <w:t>Increase (decrease) in deferred revenues, deferred ground lease payables, other accrued liabilities and other liabilities</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Decrease (increase) in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880" w:right="140" w:hanging="161"/>
        <w:spacing w:after="0" w:line="293" w:lineRule="auto"/>
        <w:rPr>
          <w:sz w:val="20"/>
          <w:szCs w:val="20"/>
          <w:color w:val="auto"/>
        </w:rPr>
      </w:pPr>
      <w:r>
        <w:rPr>
          <w:rFonts w:ascii="Arial" w:cs="Arial" w:eastAsia="Arial" w:hAnsi="Arial"/>
          <w:sz w:val="16"/>
          <w:szCs w:val="16"/>
          <w:color w:val="auto"/>
        </w:rPr>
        <w:t>Decrease (increase) in prepaid expenses, deferred site rental receivables, long-term prepaid rent, restricted cash and other assets</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provided by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23495</wp:posOffset>
            </wp:positionV>
            <wp:extent cx="28213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jc w:val="right"/>
              <w:ind w:right="640"/>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2013</w:t>
            </w:r>
          </w:p>
        </w:tc>
      </w:tr>
      <w:tr>
        <w:trPr>
          <w:trHeight w:val="507"/>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525,286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346,314</w:t>
            </w:r>
          </w:p>
        </w:tc>
        <w:tc>
          <w:tcPr>
            <w:tcW w:w="2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60,001</w:t>
            </w:r>
          </w:p>
        </w:tc>
      </w:tr>
      <w:tr>
        <w:trPr>
          <w:trHeight w:val="540"/>
        </w:trPr>
        <w:tc>
          <w:tcPr>
            <w:tcW w:w="1000" w:type="dxa"/>
            <w:vAlign w:val="bottom"/>
          </w:tcPr>
          <w:p>
            <w:pPr>
              <w:jc w:val="right"/>
              <w:ind w:right="260"/>
              <w:spacing w:after="0"/>
              <w:rPr>
                <w:sz w:val="20"/>
                <w:szCs w:val="20"/>
                <w:color w:val="auto"/>
              </w:rPr>
            </w:pPr>
            <w:r>
              <w:rPr>
                <w:rFonts w:ascii="Arial" w:cs="Arial" w:eastAsia="Arial" w:hAnsi="Arial"/>
                <w:sz w:val="16"/>
                <w:szCs w:val="16"/>
                <w:color w:val="auto"/>
                <w:w w:val="89"/>
              </w:rPr>
              <w:t>1,036,178</w:t>
            </w: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985,781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741,342</w:t>
            </w:r>
          </w:p>
        </w:tc>
      </w:tr>
      <w:tr>
        <w:trPr>
          <w:trHeight w:val="270"/>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4,157</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44,629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37,127</w:t>
            </w:r>
          </w:p>
        </w:tc>
      </w:tr>
      <w:tr>
        <w:trPr>
          <w:trHeight w:val="270"/>
        </w:trPr>
        <w:tc>
          <w:tcPr>
            <w:tcW w:w="1000" w:type="dxa"/>
            <w:vAlign w:val="bottom"/>
          </w:tcPr>
          <w:p>
            <w:pPr>
              <w:jc w:val="right"/>
              <w:ind w:right="200"/>
              <w:spacing w:after="0"/>
              <w:rPr>
                <w:sz w:val="20"/>
                <w:szCs w:val="20"/>
                <w:color w:val="auto"/>
              </w:rPr>
            </w:pPr>
            <w:r>
              <w:rPr>
                <w:rFonts w:ascii="Arial" w:cs="Arial" w:eastAsia="Arial" w:hAnsi="Arial"/>
                <w:sz w:val="16"/>
                <w:szCs w:val="16"/>
                <w:color w:val="auto"/>
              </w:rPr>
              <w:t>(54,475)</w:t>
            </w:r>
          </w:p>
        </w:tc>
        <w:tc>
          <w:tcPr>
            <w:tcW w:w="30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37,126</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80,854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99,245</w:t>
            </w:r>
          </w:p>
        </w:tc>
      </w:tr>
      <w:tr>
        <w:trPr>
          <w:trHeight w:val="270"/>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60,773</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51,497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39,030</w:t>
            </w:r>
          </w:p>
        </w:tc>
      </w:tr>
      <w:tr>
        <w:trPr>
          <w:trHeight w:val="270"/>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33,468</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14,246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13,595</w:t>
            </w:r>
          </w:p>
        </w:tc>
      </w:tr>
      <w:tr>
        <w:trPr>
          <w:trHeight w:val="270"/>
        </w:trPr>
        <w:tc>
          <w:tcPr>
            <w:tcW w:w="1000" w:type="dxa"/>
            <w:vAlign w:val="bottom"/>
          </w:tcPr>
          <w:p>
            <w:pPr>
              <w:jc w:val="right"/>
              <w:ind w:right="200"/>
              <w:spacing w:after="0"/>
              <w:rPr>
                <w:sz w:val="20"/>
                <w:szCs w:val="20"/>
                <w:color w:val="auto"/>
              </w:rPr>
            </w:pPr>
            <w:r>
              <w:rPr>
                <w:rFonts w:ascii="Arial" w:cs="Arial" w:eastAsia="Arial" w:hAnsi="Arial"/>
                <w:sz w:val="16"/>
                <w:szCs w:val="16"/>
                <w:color w:val="auto"/>
              </w:rPr>
              <w:t>(60,618)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(21,859)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174,269</w:t>
            </w:r>
          </w:p>
        </w:tc>
      </w:tr>
      <w:tr>
        <w:trPr>
          <w:trHeight w:val="270"/>
        </w:trPr>
        <w:tc>
          <w:tcPr>
            <w:tcW w:w="1000" w:type="dxa"/>
            <w:vAlign w:val="bottom"/>
          </w:tcPr>
          <w:p>
            <w:pPr>
              <w:jc w:val="right"/>
              <w:ind w:right="200"/>
              <w:spacing w:after="0"/>
              <w:rPr>
                <w:sz w:val="20"/>
                <w:szCs w:val="20"/>
                <w:color w:val="auto"/>
              </w:rPr>
            </w:pPr>
            <w:r>
              <w:rPr>
                <w:rFonts w:ascii="Arial" w:cs="Arial" w:eastAsia="Arial" w:hAnsi="Arial"/>
                <w:sz w:val="16"/>
                <w:szCs w:val="16"/>
                <w:color w:val="auto"/>
              </w:rPr>
              <w:t>(8,915)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(25,679)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2,974</w:t>
            </w:r>
          </w:p>
        </w:tc>
      </w:tr>
      <w:tr>
        <w:trPr>
          <w:trHeight w:val="540"/>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1,361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12,990</w:t>
            </w:r>
          </w:p>
        </w:tc>
      </w:tr>
      <w:tr>
        <w:trPr>
          <w:trHeight w:val="270"/>
        </w:trPr>
        <w:tc>
          <w:tcPr>
            <w:tcW w:w="1000" w:type="dxa"/>
            <w:vAlign w:val="bottom"/>
          </w:tcPr>
          <w:p>
            <w:pPr>
              <w:jc w:val="right"/>
              <w:ind w:right="200"/>
              <w:spacing w:after="0"/>
              <w:rPr>
                <w:sz w:val="20"/>
                <w:szCs w:val="20"/>
                <w:color w:val="auto"/>
              </w:rPr>
            </w:pPr>
            <w:r>
              <w:rPr>
                <w:rFonts w:ascii="Arial" w:cs="Arial" w:eastAsia="Arial" w:hAnsi="Arial"/>
                <w:sz w:val="16"/>
                <w:szCs w:val="16"/>
                <w:color w:val="auto"/>
              </w:rPr>
              <w:t>(5,287)</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12,281</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28,665</w:t>
            </w:r>
          </w:p>
        </w:tc>
      </w:tr>
      <w:tr>
        <w:trPr>
          <w:trHeight w:val="459"/>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325,880</w:t>
            </w: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397,363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242,687</w:t>
            </w:r>
          </w:p>
        </w:tc>
      </w:tr>
      <w:tr>
        <w:trPr>
          <w:trHeight w:val="270"/>
        </w:trPr>
        <w:tc>
          <w:tcPr>
            <w:tcW w:w="1000" w:type="dxa"/>
            <w:vAlign w:val="bottom"/>
          </w:tcPr>
          <w:p>
            <w:pPr>
              <w:jc w:val="right"/>
              <w:ind w:right="260"/>
              <w:spacing w:after="0"/>
              <w:rPr>
                <w:sz w:val="20"/>
                <w:szCs w:val="20"/>
                <w:color w:val="auto"/>
              </w:rPr>
            </w:pPr>
            <w:r>
              <w:rPr>
                <w:rFonts w:ascii="Arial" w:cs="Arial" w:eastAsia="Arial" w:hAnsi="Arial"/>
                <w:sz w:val="16"/>
                <w:szCs w:val="16"/>
                <w:color w:val="auto"/>
              </w:rPr>
              <w:t>12,668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(77,116)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(64,026)</w:t>
            </w:r>
          </w:p>
        </w:tc>
      </w:tr>
      <w:tr>
        <w:trPr>
          <w:trHeight w:val="459"/>
        </w:trPr>
        <w:tc>
          <w:tcPr>
            <w:tcW w:w="1000" w:type="dxa"/>
            <w:vAlign w:val="bottom"/>
          </w:tcPr>
          <w:p>
            <w:pPr>
              <w:jc w:val="right"/>
              <w:ind w:right="200"/>
              <w:spacing w:after="0"/>
              <w:rPr>
                <w:sz w:val="20"/>
                <w:szCs w:val="20"/>
                <w:color w:val="auto"/>
              </w:rPr>
            </w:pPr>
            <w:r>
              <w:rPr>
                <w:rFonts w:ascii="Arial" w:cs="Arial" w:eastAsia="Arial" w:hAnsi="Arial"/>
                <w:sz w:val="16"/>
                <w:szCs w:val="16"/>
                <w:color w:val="auto"/>
              </w:rPr>
              <w:t>(112,248)</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(209,475)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(216,840)</w:t>
            </w:r>
          </w:p>
        </w:tc>
      </w:tr>
      <w:tr>
        <w:trPr>
          <w:trHeight w:val="33"/>
        </w:trPr>
        <w:tc>
          <w:tcPr>
            <w:tcW w:w="1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1000" w:type="dxa"/>
            <w:vAlign w:val="bottom"/>
          </w:tcPr>
          <w:p>
            <w:pPr>
              <w:jc w:val="right"/>
              <w:ind w:right="260"/>
              <w:spacing w:after="0"/>
              <w:rPr>
                <w:sz w:val="20"/>
                <w:szCs w:val="20"/>
                <w:color w:val="auto"/>
              </w:rPr>
            </w:pPr>
            <w:r>
              <w:rPr>
                <w:rFonts w:ascii="Arial" w:cs="Arial" w:eastAsia="Arial" w:hAnsi="Arial"/>
                <w:sz w:val="16"/>
                <w:szCs w:val="16"/>
                <w:color w:val="auto"/>
                <w:w w:val="89"/>
              </w:rPr>
              <w:t>1,794,025</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1,600,197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1,171,059</w:t>
            </w:r>
          </w:p>
        </w:tc>
      </w:tr>
      <w:tr>
        <w:trPr>
          <w:trHeight w:val="33"/>
        </w:trPr>
        <w:tc>
          <w:tcPr>
            <w:tcW w:w="1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-187960</wp:posOffset>
            </wp:positionV>
            <wp:extent cx="8147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7080" w:space="400"/>
            <w:col w:w="3940"/>
          </w:cols>
          <w:pgMar w:left="240" w:top="121" w:right="239" w:bottom="663"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980" w:type="dxa"/>
            <w:vAlign w:val="bottom"/>
          </w:tcPr>
          <w:p>
            <w:pPr>
              <w:ind w:left="500"/>
              <w:spacing w:after="0"/>
              <w:rPr>
                <w:sz w:val="20"/>
                <w:szCs w:val="20"/>
                <w:color w:val="auto"/>
              </w:rPr>
            </w:pPr>
            <w:r>
              <w:rPr>
                <w:rFonts w:ascii="Arial" w:cs="Arial" w:eastAsia="Arial" w:hAnsi="Arial"/>
                <w:sz w:val="16"/>
                <w:szCs w:val="16"/>
                <w:color w:val="auto"/>
              </w:rPr>
              <w:t>Payment for acquisitions of businesses, net of cash acquired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(1,102,179)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(461,651)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(4,931,752)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(908,892)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(758,535)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(534,809)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Receipts from foreign currency swaps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54,475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investing activities,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7,276</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980" w:type="dxa"/>
            <w:vAlign w:val="bottom"/>
          </w:tcPr>
          <w:p>
            <w:pPr>
              <w:ind w:left="1040"/>
              <w:spacing w:after="0"/>
              <w:rPr>
                <w:sz w:val="20"/>
                <w:szCs w:val="20"/>
                <w:color w:val="auto"/>
              </w:rPr>
            </w:pPr>
            <w:r>
              <w:rPr>
                <w:rFonts w:ascii="Arial" w:cs="Arial" w:eastAsia="Arial" w:hAnsi="Arial"/>
                <w:sz w:val="16"/>
                <w:szCs w:val="16"/>
                <w:color w:val="auto"/>
              </w:rPr>
              <w:t>Net cash provided by (used for)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(1,959,734)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(1,216,709)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(5,459,285)</w:t>
            </w:r>
          </w:p>
        </w:tc>
        <w:tc>
          <w:tcPr>
            <w:tcW w:w="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845,750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1,618,430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proceeds from issuance of capital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2,980,586</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Net proceeds from issuance of preferred stock</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950,886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Principal payments on debt and other long-term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(102,866)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(116,426)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(101,322)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Purchases and redemptions of long-term 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(1,069,337)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(836,899)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(762,970)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Purchases of capital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(21,872)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(99,458)</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Borrowings under revolving credit facility</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1,790,000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1,019,000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976,032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Payments under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(1,855,032)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Payments for financing costs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(increase) decrease in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16,458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30,010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385,982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Dividends/distributions paid on common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(1,116,444)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(624,297)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Dividends paid on preferred stock</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(43,988)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(44,354)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980" w:type="dxa"/>
            <w:vAlign w:val="bottom"/>
          </w:tcPr>
          <w:p>
            <w:pPr>
              <w:ind w:left="1040"/>
              <w:spacing w:after="0"/>
              <w:rPr>
                <w:sz w:val="20"/>
                <w:szCs w:val="20"/>
                <w:color w:val="auto"/>
              </w:rPr>
            </w:pPr>
            <w:r>
              <w:rPr>
                <w:rFonts w:ascii="Arial" w:cs="Arial" w:eastAsia="Arial" w:hAnsi="Arial"/>
                <w:sz w:val="16"/>
                <w:szCs w:val="16"/>
                <w:color w:val="auto"/>
              </w:rPr>
              <w:t>Net cash provided by (used for) financing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(935,476)</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(462,987)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4,063,133</w:t>
            </w:r>
          </w:p>
        </w:tc>
        <w:tc>
          <w:tcPr>
            <w:tcW w:w="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 -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(1,101,185)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(79,499)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(225,093)</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Discontinued operations (see note 3):</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provided by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65,933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66,597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1040"/>
              <w:spacing w:after="0"/>
              <w:rPr>
                <w:sz w:val="20"/>
                <w:szCs w:val="20"/>
                <w:color w:val="auto"/>
              </w:rPr>
            </w:pPr>
            <w:r>
              <w:rPr>
                <w:rFonts w:ascii="Arial" w:cs="Arial" w:eastAsia="Arial" w:hAnsi="Arial"/>
                <w:sz w:val="16"/>
                <w:szCs w:val="16"/>
                <w:color w:val="auto"/>
              </w:rPr>
              <w:t>Net cash provided by (used for) investing activities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1,103,577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(26,196)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(61,684)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 -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1,106,277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4,913</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2,210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175,620</w:t>
            </w:r>
          </w:p>
        </w:tc>
        <w:tc>
          <w:tcPr>
            <w:tcW w:w="50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9"/>
                <w:szCs w:val="9"/>
                <w:color w:val="auto"/>
                <w:w w:val="90"/>
              </w:rPr>
              <w:t>(a)</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223,394</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9"/>
                <w:szCs w:val="9"/>
                <w:color w:val="auto"/>
              </w:rPr>
              <w:t>(a)</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441,364</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vMerge w:val="continue"/>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178,810</w:t>
            </w:r>
          </w:p>
        </w:tc>
        <w:tc>
          <w:tcPr>
            <w:tcW w:w="2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175,620</w:t>
            </w:r>
          </w:p>
        </w:tc>
        <w:tc>
          <w:tcPr>
            <w:tcW w:w="500" w:type="dxa"/>
            <w:vAlign w:val="bottom"/>
            <w:gridSpan w:val="2"/>
          </w:tcPr>
          <w:p>
            <w:pPr>
              <w:ind w:left="60"/>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223,394</w:t>
            </w:r>
          </w:p>
        </w:tc>
        <w:tc>
          <w:tcPr>
            <w:tcW w:w="220" w:type="dxa"/>
            <w:vAlign w:val="bottom"/>
          </w:tcPr>
          <w:p>
            <w:pPr>
              <w:ind w:left="6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33"/>
        </w:trPr>
        <w:tc>
          <w:tcPr>
            <w:tcW w:w="698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9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980" w:type="dxa"/>
            <w:vAlign w:val="bottom"/>
          </w:tcPr>
          <w:p>
            <w:pPr>
              <w:spacing w:after="0"/>
              <w:rPr>
                <w:sz w:val="20"/>
                <w:szCs w:val="20"/>
                <w:color w:val="auto"/>
              </w:rPr>
            </w:pPr>
            <w:r>
              <w:rPr>
                <w:rFonts w:ascii="Arial" w:cs="Arial" w:eastAsia="Arial" w:hAnsi="Arial"/>
                <w:sz w:val="14"/>
                <w:szCs w:val="14"/>
                <w:color w:val="auto"/>
              </w:rPr>
              <w:t>(a)   Inclusive of cash and cash equivalents included in discontinued operations.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663"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1" w:right="239" w:bottom="663"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3"/>
                <w:szCs w:val="13"/>
                <w:b w:val="1"/>
                <w:bCs w:val="1"/>
                <w:color w:val="auto"/>
                <w:w w:val="96"/>
              </w:rPr>
              <w:t>CCIC Stockholders' Equity</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320"/>
              <w:spacing w:after="0" w:line="144" w:lineRule="exact"/>
              <w:rPr>
                <w:sz w:val="20"/>
                <w:szCs w:val="20"/>
                <w:color w:val="auto"/>
              </w:rPr>
            </w:pPr>
            <w:r>
              <w:rPr>
                <w:rFonts w:ascii="Arial" w:cs="Arial" w:eastAsia="Arial" w:hAnsi="Arial"/>
                <w:sz w:val="13"/>
                <w:szCs w:val="13"/>
                <w:b w:val="1"/>
                <w:bCs w:val="1"/>
                <w:color w:val="auto"/>
                <w:w w:val="90"/>
              </w:rPr>
              <w:t>4.50% Mandatory</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8"/>
          </w:tcPr>
          <w:p>
            <w:pPr>
              <w:jc w:val="center"/>
              <w:spacing w:after="0" w:line="144" w:lineRule="exact"/>
              <w:rPr>
                <w:sz w:val="20"/>
                <w:szCs w:val="20"/>
                <w:color w:val="auto"/>
              </w:rPr>
            </w:pPr>
            <w:r>
              <w:rPr>
                <w:rFonts w:ascii="Arial" w:cs="Arial" w:eastAsia="Arial" w:hAnsi="Arial"/>
                <w:sz w:val="13"/>
                <w:szCs w:val="13"/>
                <w:b w:val="1"/>
                <w:bCs w:val="1"/>
                <w:color w:val="auto"/>
                <w:w w:val="87"/>
              </w:rPr>
              <w:t>Accumulated Other Comprehensive Income</w:t>
            </w: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580" w:type="dxa"/>
            <w:vAlign w:val="bottom"/>
            <w:gridSpan w:val="4"/>
          </w:tcPr>
          <w:p>
            <w:pPr>
              <w:jc w:val="right"/>
              <w:spacing w:after="0"/>
              <w:rPr>
                <w:sz w:val="20"/>
                <w:szCs w:val="20"/>
                <w:color w:val="auto"/>
              </w:rPr>
            </w:pPr>
            <w:r>
              <w:rPr>
                <w:rFonts w:ascii="Arial" w:cs="Arial" w:eastAsia="Arial" w:hAnsi="Arial"/>
                <w:sz w:val="13"/>
                <w:szCs w:val="13"/>
                <w:b w:val="1"/>
                <w:bCs w:val="1"/>
                <w:color w:val="auto"/>
                <w:w w:val="89"/>
              </w:rPr>
              <w:t>Convertible Preferred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(Loss) ("AOCI")</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30"/>
              <w:spacing w:after="0" w:line="144"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6"/>
              </w:rPr>
              <w:t>Noncontrolling</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64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interest from</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Paid-In</w:t>
            </w: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40" w:type="dxa"/>
            <w:vAlign w:val="bottom"/>
            <w:gridSpan w:val="3"/>
          </w:tcPr>
          <w:p>
            <w:pPr>
              <w:ind w:left="140"/>
              <w:spacing w:after="0" w:line="135" w:lineRule="exact"/>
              <w:rPr>
                <w:sz w:val="20"/>
                <w:szCs w:val="20"/>
                <w:color w:val="auto"/>
              </w:rPr>
            </w:pPr>
            <w:r>
              <w:rPr>
                <w:rFonts w:ascii="Arial" w:cs="Arial" w:eastAsia="Arial" w:hAnsi="Arial"/>
                <w:sz w:val="13"/>
                <w:szCs w:val="13"/>
                <w:b w:val="1"/>
                <w:bCs w:val="1"/>
                <w:color w:val="auto"/>
                <w:w w:val="94"/>
              </w:rPr>
              <w:t>Dividends/Distributions</w:t>
            </w: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discontinued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($.01 Par)</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($.01 Par)</w:t>
            </w:r>
          </w:p>
        </w:tc>
        <w:tc>
          <w:tcPr>
            <w:tcW w:w="90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Adjustments</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Instruments</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Total AOCI</w:t>
            </w: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9"/>
              </w:rPr>
              <w:t>in Excess of 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3"/>
        </w:trPr>
        <w:tc>
          <w:tcPr>
            <w:tcW w:w="13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December</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3"/>
            <w:vMerge w:val="restart"/>
            <w:shd w:val="clear" w:color="auto" w:fill="CCEEFF"/>
          </w:tcPr>
          <w:p>
            <w:pPr>
              <w:ind w:left="480"/>
              <w:spacing w:after="0"/>
              <w:rPr>
                <w:sz w:val="20"/>
                <w:szCs w:val="20"/>
                <w:color w:val="auto"/>
              </w:rPr>
            </w:pPr>
            <w:r>
              <w:rPr>
                <w:rFonts w:ascii="Arial" w:cs="Arial" w:eastAsia="Arial" w:hAnsi="Arial"/>
                <w:sz w:val="16"/>
                <w:szCs w:val="16"/>
                <w:color w:val="auto"/>
              </w:rPr>
              <w:t>— — $</w:t>
            </w:r>
          </w:p>
        </w:tc>
        <w:tc>
          <w:tcPr>
            <w:tcW w:w="2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31, 2012</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5"/>
              </w:rPr>
              <w:t>293,164,786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2,932</w:t>
            </w:r>
          </w:p>
        </w:tc>
        <w:tc>
          <w:tcPr>
            <w:tcW w:w="100" w:type="dxa"/>
            <w:vAlign w:val="bottom"/>
            <w:shd w:val="clear" w:color="auto" w:fill="CCEEFF"/>
          </w:tcPr>
          <w:p>
            <w:pPr>
              <w:spacing w:after="0"/>
              <w:rPr>
                <w:sz w:val="16"/>
                <w:szCs w:val="16"/>
                <w:color w:val="auto"/>
              </w:rPr>
            </w:pPr>
          </w:p>
        </w:tc>
        <w:tc>
          <w:tcPr>
            <w:tcW w:w="1300" w:type="dxa"/>
            <w:vAlign w:val="bottom"/>
            <w:gridSpan w:val="3"/>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$5,623,595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102,125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(163,916)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(61,791)</w:t>
            </w:r>
          </w:p>
        </w:tc>
        <w:tc>
          <w:tcPr>
            <w:tcW w:w="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(2,625,990)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6"/>
              </w:rPr>
              <w:t>$2,951,264</w:t>
            </w:r>
          </w:p>
        </w:tc>
        <w:tc>
          <w:tcPr>
            <w:tcW w:w="0" w:type="dxa"/>
            <w:vAlign w:val="bottom"/>
          </w:tcPr>
          <w:p>
            <w:pPr>
              <w:spacing w:after="0"/>
              <w:rPr>
                <w:sz w:val="1"/>
                <w:szCs w:val="1"/>
                <w:color w:val="auto"/>
              </w:rPr>
            </w:pPr>
          </w:p>
        </w:tc>
      </w:tr>
      <w:tr>
        <w:trPr>
          <w:trHeight w:val="137"/>
        </w:trPr>
        <w:tc>
          <w:tcPr>
            <w:tcW w:w="1320" w:type="dxa"/>
            <w:vAlign w:val="bottom"/>
          </w:tcPr>
          <w:p>
            <w:pPr>
              <w:ind w:left="40"/>
              <w:spacing w:after="0" w:line="137" w:lineRule="exact"/>
              <w:rPr>
                <w:sz w:val="20"/>
                <w:szCs w:val="20"/>
                <w:color w:val="auto"/>
              </w:rPr>
            </w:pPr>
            <w:r>
              <w:rPr>
                <w:rFonts w:ascii="Arial" w:cs="Arial" w:eastAsia="Arial" w:hAnsi="Arial"/>
                <w:sz w:val="14"/>
                <w:szCs w:val="14"/>
                <w:color w:val="auto"/>
              </w:rPr>
              <w:t>Stock-based</w:t>
            </w: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compensation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related activity,</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48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2"/>
                <w:szCs w:val="12"/>
                <w:color w:val="auto"/>
              </w:rPr>
            </w:pPr>
          </w:p>
        </w:tc>
        <w:tc>
          <w:tcPr>
            <w:tcW w:w="280" w:type="dxa"/>
            <w:vAlign w:val="bottom"/>
            <w:vMerge w:val="restart"/>
          </w:tcPr>
          <w:p>
            <w:pPr>
              <w:jc w:val="right"/>
              <w:ind w:right="21"/>
              <w:spacing w:after="0"/>
              <w:rPr>
                <w:sz w:val="20"/>
                <w:szCs w:val="20"/>
                <w:color w:val="auto"/>
              </w:rPr>
            </w:pPr>
            <w:r>
              <w:rPr>
                <w:rFonts w:ascii="Arial" w:cs="Arial" w:eastAsia="Arial" w:hAnsi="Arial"/>
                <w:sz w:val="16"/>
                <w:szCs w:val="16"/>
                <w:color w:val="auto"/>
                <w:w w:val="99"/>
              </w:rPr>
              <w: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200"/>
              <w:spacing w:after="0"/>
              <w:rPr>
                <w:sz w:val="20"/>
                <w:szCs w:val="20"/>
                <w:color w:val="auto"/>
              </w:rPr>
            </w:pPr>
            <w:r>
              <w:rPr>
                <w:rFonts w:ascii="Arial" w:cs="Arial" w:eastAsia="Arial" w:hAnsi="Arial"/>
                <w:sz w:val="14"/>
                <w:szCs w:val="14"/>
                <w:color w:val="auto"/>
              </w:rPr>
              <w:t>net of forfeitures</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934,691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39,021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39,030</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and</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retirement of</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(1,429,461)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(99,458)</w:t>
            </w:r>
          </w:p>
        </w:tc>
        <w:tc>
          <w:tcPr>
            <w:tcW w:w="0" w:type="dxa"/>
            <w:vAlign w:val="bottom"/>
          </w:tcPr>
          <w:p>
            <w:pPr>
              <w:spacing w:after="0"/>
              <w:rPr>
                <w:sz w:val="1"/>
                <w:szCs w:val="1"/>
                <w:color w:val="auto"/>
              </w:rPr>
            </w:pPr>
          </w:p>
        </w:tc>
      </w:tr>
      <w:tr>
        <w:trPr>
          <w:trHeight w:val="157"/>
        </w:trPr>
        <w:tc>
          <w:tcPr>
            <w:tcW w:w="1320" w:type="dxa"/>
            <w:vAlign w:val="bottom"/>
          </w:tcPr>
          <w:p>
            <w:pPr>
              <w:ind w:left="40"/>
              <w:spacing w:after="0" w:line="157" w:lineRule="exact"/>
              <w:rPr>
                <w:sz w:val="20"/>
                <w:szCs w:val="20"/>
                <w:color w:val="auto"/>
              </w:rPr>
            </w:pPr>
            <w:r>
              <w:rPr>
                <w:rFonts w:ascii="Arial" w:cs="Arial" w:eastAsia="Arial" w:hAnsi="Arial"/>
                <w:sz w:val="14"/>
                <w:szCs w:val="14"/>
                <w:color w:val="auto"/>
              </w:rPr>
              <w:t>Net proceeds from</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2"/>
                <w:szCs w:val="12"/>
                <w:color w:val="auto"/>
              </w:rPr>
            </w:pPr>
          </w:p>
        </w:tc>
        <w:tc>
          <w:tcPr>
            <w:tcW w:w="280" w:type="dxa"/>
            <w:vAlign w:val="bottom"/>
            <w:vMerge w:val="restart"/>
          </w:tcPr>
          <w:p>
            <w:pPr>
              <w:jc w:val="right"/>
              <w:ind w:right="21"/>
              <w:spacing w:after="0"/>
              <w:rPr>
                <w:sz w:val="20"/>
                <w:szCs w:val="20"/>
                <w:color w:val="auto"/>
              </w:rPr>
            </w:pPr>
            <w:r>
              <w:rPr>
                <w:rFonts w:ascii="Arial" w:cs="Arial" w:eastAsia="Arial" w:hAnsi="Arial"/>
                <w:sz w:val="16"/>
                <w:szCs w:val="16"/>
                <w:color w:val="auto"/>
                <w:w w:val="99"/>
              </w:rPr>
              <w: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41,400,000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2,980,172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2,980,586</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9,775,000</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98</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950,788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950,886</w:t>
            </w:r>
          </w:p>
        </w:tc>
        <w:tc>
          <w:tcPr>
            <w:tcW w:w="0" w:type="dxa"/>
            <w:vAlign w:val="bottom"/>
          </w:tcPr>
          <w:p>
            <w:pPr>
              <w:spacing w:after="0"/>
              <w:rPr>
                <w:sz w:val="1"/>
                <w:szCs w:val="1"/>
                <w:color w:val="auto"/>
              </w:rPr>
            </w:pPr>
          </w:p>
        </w:tc>
      </w:tr>
      <w:tr>
        <w:trPr>
          <w:trHeight w:val="157"/>
        </w:trPr>
        <w:tc>
          <w:tcPr>
            <w:tcW w:w="1320" w:type="dxa"/>
            <w:vAlign w:val="bottom"/>
          </w:tcPr>
          <w:p>
            <w:pPr>
              <w:ind w:left="40"/>
              <w:spacing w:after="0" w:line="157" w:lineRule="exact"/>
              <w:rPr>
                <w:sz w:val="20"/>
                <w:szCs w:val="20"/>
                <w:color w:val="auto"/>
              </w:rPr>
            </w:pPr>
            <w:r>
              <w:rPr>
                <w:rFonts w:ascii="Arial" w:cs="Arial" w:eastAsia="Arial" w:hAnsi="Arial"/>
                <w:sz w:val="14"/>
                <w:szCs w:val="14"/>
                <w:color w:val="auto"/>
                <w:w w:val="94"/>
              </w:rPr>
              <w:t>Other comprehensive</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48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3"/>
                <w:szCs w:val="13"/>
                <w:color w:val="auto"/>
              </w:rPr>
            </w:pPr>
          </w:p>
        </w:tc>
        <w:tc>
          <w:tcPr>
            <w:tcW w:w="280" w:type="dxa"/>
            <w:vAlign w:val="bottom"/>
            <w:vMerge w:val="restart"/>
          </w:tcPr>
          <w:p>
            <w:pPr>
              <w:jc w:val="right"/>
              <w:ind w:right="21"/>
              <w:spacing w:after="0"/>
              <w:rPr>
                <w:sz w:val="20"/>
                <w:szCs w:val="20"/>
                <w:color w:val="auto"/>
              </w:rPr>
            </w:pPr>
            <w:r>
              <w:rPr>
                <w:rFonts w:ascii="Arial" w:cs="Arial" w:eastAsia="Arial" w:hAnsi="Arial"/>
                <w:sz w:val="16"/>
                <w:szCs w:val="16"/>
                <w:color w:val="auto"/>
                <w:w w:val="99"/>
              </w:rPr>
              <w:t>—</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40"/>
              <w:spacing w:after="0"/>
              <w:rPr>
                <w:sz w:val="20"/>
                <w:szCs w:val="20"/>
                <w:color w:val="auto"/>
              </w:rPr>
            </w:pPr>
            <w:r>
              <w:rPr>
                <w:rFonts w:ascii="Arial" w:cs="Arial" w:eastAsia="Arial" w:hAnsi="Arial"/>
                <w:sz w:val="14"/>
                <w:szCs w:val="14"/>
                <w:color w:val="auto"/>
              </w:rPr>
              <w:t>income (loss)</w:t>
            </w:r>
            <w:r>
              <w:rPr>
                <w:rFonts w:ascii="Arial" w:cs="Arial" w:eastAsia="Arial" w:hAnsi="Arial"/>
                <w:sz w:val="8"/>
                <w:szCs w:val="8"/>
                <w:color w:val="auto"/>
              </w:rPr>
              <w:t>(a)</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(43,864)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82,043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38,179</w:t>
            </w:r>
          </w:p>
        </w:tc>
        <w:tc>
          <w:tcPr>
            <w:tcW w:w="4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36,329</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dividends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(11,363)</w:t>
            </w:r>
          </w:p>
        </w:tc>
        <w:tc>
          <w:tcPr>
            <w:tcW w:w="0" w:type="dxa"/>
            <w:vAlign w:val="bottom"/>
          </w:tcPr>
          <w:p>
            <w:pPr>
              <w:spacing w:after="0"/>
              <w:rPr>
                <w:sz w:val="1"/>
                <w:szCs w:val="1"/>
                <w:color w:val="auto"/>
              </w:rPr>
            </w:pPr>
          </w:p>
        </w:tc>
      </w:tr>
      <w:tr>
        <w:trPr>
          <w:trHeight w:val="264"/>
        </w:trPr>
        <w:tc>
          <w:tcPr>
            <w:tcW w:w="132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2"/>
                <w:szCs w:val="22"/>
                <w:color w:val="auto"/>
              </w:rPr>
            </w:pPr>
          </w:p>
        </w:tc>
        <w:tc>
          <w:tcPr>
            <w:tcW w:w="280" w:type="dxa"/>
            <w:vAlign w:val="bottom"/>
          </w:tcPr>
          <w:p>
            <w:pPr>
              <w:jc w:val="right"/>
              <w:ind w:right="21"/>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90,111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3,790</w:t>
            </w:r>
          </w:p>
        </w:tc>
        <w:tc>
          <w:tcPr>
            <w:tcW w:w="10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93,901</w:t>
            </w:r>
          </w:p>
        </w:tc>
        <w:tc>
          <w:tcPr>
            <w:tcW w:w="0" w:type="dxa"/>
            <w:vAlign w:val="bottom"/>
          </w:tcPr>
          <w:p>
            <w:pPr>
              <w:spacing w:after="0"/>
              <w:rPr>
                <w:sz w:val="1"/>
                <w:szCs w:val="1"/>
                <w:color w:val="auto"/>
              </w:rPr>
            </w:pPr>
          </w:p>
        </w:tc>
      </w:tr>
      <w:tr>
        <w:trPr>
          <w:trHeight w:val="143"/>
        </w:trPr>
        <w:tc>
          <w:tcPr>
            <w:tcW w:w="13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December</w:t>
            </w: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31, 2013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5"/>
              </w:rPr>
              <w:t>334,070,016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3,341</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96"/>
              </w:rPr>
              <w:t>9,775,000</w:t>
            </w:r>
          </w:p>
        </w:tc>
        <w:tc>
          <w:tcPr>
            <w:tcW w:w="2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color w:val="auto"/>
              </w:rPr>
              <w:t>98</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$9,482,769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58,261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(81,873)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(23,612)</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(2,535,879)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14,458</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6"/>
              </w:rPr>
              <w:t>$6,941,175</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line="273"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 the consolidated statement of operations and comprehensive income (loss) for the components of "total other comprehensive income (loss)" and note 9 with respect to the reclassification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-228600</wp:posOffset>
            </wp:positionV>
            <wp:extent cx="91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of dollars, except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CCIC Stockholders’ Equity</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44"/>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ind w:left="240"/>
              <w:spacing w:after="0" w:line="144" w:lineRule="exact"/>
              <w:rPr>
                <w:sz w:val="20"/>
                <w:szCs w:val="20"/>
                <w:color w:val="auto"/>
              </w:rPr>
            </w:pPr>
            <w:r>
              <w:rPr>
                <w:rFonts w:ascii="Arial" w:cs="Arial" w:eastAsia="Arial" w:hAnsi="Arial"/>
                <w:sz w:val="13"/>
                <w:szCs w:val="13"/>
                <w:b w:val="1"/>
                <w:bCs w:val="1"/>
                <w:color w:val="auto"/>
              </w:rPr>
              <w:t>4.50% Mandatory</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5"/>
          </w:tcPr>
          <w:p>
            <w:pPr>
              <w:jc w:val="right"/>
              <w:ind w:right="200"/>
              <w:spacing w:after="0" w:line="135" w:lineRule="exact"/>
              <w:rPr>
                <w:sz w:val="20"/>
                <w:szCs w:val="20"/>
                <w:color w:val="auto"/>
              </w:rPr>
            </w:pPr>
            <w:r>
              <w:rPr>
                <w:rFonts w:ascii="Arial" w:cs="Arial" w:eastAsia="Arial" w:hAnsi="Arial"/>
                <w:sz w:val="13"/>
                <w:szCs w:val="13"/>
                <w:b w:val="1"/>
                <w:bCs w:val="1"/>
                <w:color w:val="auto"/>
                <w:w w:val="97"/>
              </w:rPr>
              <w:t>Convertible Preferred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4"/>
        </w:trPr>
        <w:tc>
          <w:tcPr>
            <w:tcW w:w="1580" w:type="dxa"/>
            <w:vAlign w:val="bottom"/>
          </w:tcPr>
          <w:p>
            <w:pPr>
              <w:spacing w:after="0"/>
              <w:rPr>
                <w:sz w:val="15"/>
                <w:szCs w:val="15"/>
                <w:color w:val="auto"/>
              </w:rPr>
            </w:pPr>
          </w:p>
        </w:tc>
        <w:tc>
          <w:tcPr>
            <w:tcW w:w="168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020" w:type="dxa"/>
            <w:vAlign w:val="bottom"/>
            <w:gridSpan w:val="3"/>
          </w:tcPr>
          <w:p>
            <w:pPr>
              <w:jc w:val="right"/>
              <w:ind w:right="71"/>
              <w:spacing w:after="0"/>
              <w:rPr>
                <w:sz w:val="20"/>
                <w:szCs w:val="20"/>
                <w:color w:val="auto"/>
              </w:rPr>
            </w:pPr>
            <w:r>
              <w:rPr>
                <w:rFonts w:ascii="Arial" w:cs="Arial" w:eastAsia="Arial" w:hAnsi="Arial"/>
                <w:sz w:val="13"/>
                <w:szCs w:val="13"/>
                <w:b w:val="1"/>
                <w:bCs w:val="1"/>
                <w:color w:val="auto"/>
              </w:rPr>
              <w:t>Stock</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AOCI</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44"/>
        </w:trPr>
        <w:tc>
          <w:tcPr>
            <w:tcW w:w="15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Foreign</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780" w:type="dxa"/>
            <w:vAlign w:val="bottom"/>
          </w:tcPr>
          <w:p>
            <w:pPr>
              <w:spacing w:after="0"/>
              <w:rPr>
                <w:sz w:val="12"/>
                <w:szCs w:val="12"/>
                <w:color w:val="auto"/>
              </w:rPr>
            </w:pP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Currency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interest from</w:t>
            </w:r>
          </w:p>
        </w:tc>
        <w:tc>
          <w:tcPr>
            <w:tcW w:w="78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Paid-In</w:t>
            </w: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3"/>
          </w:tcPr>
          <w:p>
            <w:pPr>
              <w:ind w:left="140"/>
              <w:spacing w:after="0" w:line="135" w:lineRule="exact"/>
              <w:rPr>
                <w:sz w:val="20"/>
                <w:szCs w:val="20"/>
                <w:color w:val="auto"/>
              </w:rPr>
            </w:pPr>
            <w:r>
              <w:rPr>
                <w:rFonts w:ascii="Arial" w:cs="Arial" w:eastAsia="Arial" w:hAnsi="Arial"/>
                <w:sz w:val="13"/>
                <w:szCs w:val="13"/>
                <w:b w:val="1"/>
                <w:bCs w:val="1"/>
                <w:color w:val="auto"/>
                <w:w w:val="94"/>
              </w:rPr>
              <w:t>Dividends/Distributions</w:t>
            </w:r>
          </w:p>
        </w:tc>
        <w:tc>
          <w:tcPr>
            <w:tcW w:w="9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discontinued</w:t>
            </w:r>
          </w:p>
        </w:tc>
        <w:tc>
          <w:tcPr>
            <w:tcW w:w="780" w:type="dxa"/>
            <w:vAlign w:val="bottom"/>
          </w:tcPr>
          <w:p>
            <w:pPr>
              <w:spacing w:after="0"/>
              <w:rPr>
                <w:sz w:val="11"/>
                <w:szCs w:val="11"/>
                <w:color w:val="auto"/>
              </w:rPr>
            </w:pPr>
          </w:p>
        </w:tc>
      </w:tr>
      <w:tr>
        <w:trPr>
          <w:trHeight w:val="174"/>
        </w:trPr>
        <w:tc>
          <w:tcPr>
            <w:tcW w:w="15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($.01 Par)</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3"/>
          </w:tcPr>
          <w:p>
            <w:pPr>
              <w:ind w:left="60"/>
              <w:spacing w:after="0"/>
              <w:rPr>
                <w:sz w:val="20"/>
                <w:szCs w:val="20"/>
                <w:color w:val="auto"/>
              </w:rPr>
            </w:pPr>
            <w:r>
              <w:rPr>
                <w:rFonts w:ascii="Arial" w:cs="Arial" w:eastAsia="Arial" w:hAnsi="Arial"/>
                <w:sz w:val="13"/>
                <w:szCs w:val="13"/>
                <w:b w:val="1"/>
                <w:bCs w:val="1"/>
                <w:color w:val="auto"/>
              </w:rPr>
              <w:t>($.01 Par)</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8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Adjustments</w:t>
            </w: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Instruments</w:t>
            </w: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Total AOCI</w:t>
            </w:r>
          </w:p>
        </w:tc>
        <w:tc>
          <w:tcPr>
            <w:tcW w:w="1540" w:type="dxa"/>
            <w:vAlign w:val="bottom"/>
            <w:gridSpan w:val="3"/>
          </w:tcPr>
          <w:p>
            <w:pPr>
              <w:ind w:left="200"/>
              <w:spacing w:after="0"/>
              <w:rPr>
                <w:sz w:val="20"/>
                <w:szCs w:val="20"/>
                <w:color w:val="auto"/>
              </w:rPr>
            </w:pPr>
            <w:r>
              <w:rPr>
                <w:rFonts w:ascii="Arial" w:cs="Arial" w:eastAsia="Arial" w:hAnsi="Arial"/>
                <w:sz w:val="13"/>
                <w:szCs w:val="13"/>
                <w:b w:val="1"/>
                <w:bCs w:val="1"/>
                <w:color w:val="auto"/>
                <w:w w:val="97"/>
              </w:rPr>
              <w:t>in Excess of Earnings</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operations</w:t>
            </w: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Total</w:t>
            </w:r>
          </w:p>
        </w:tc>
      </w:tr>
      <w:tr>
        <w:trPr>
          <w:trHeight w:val="143"/>
        </w:trPr>
        <w:tc>
          <w:tcPr>
            <w:tcW w:w="158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December 31,</w:t>
            </w: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r>
      <w:tr>
        <w:trPr>
          <w:trHeight w:val="194"/>
        </w:trPr>
        <w:tc>
          <w:tcPr>
            <w:tcW w:w="1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5"/>
              </w:rPr>
              <w:t>334,070,016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3,341</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9,775,000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$9,482,769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58,261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(81,873)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(23,612)</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(2,535,879)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14,458</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4"/>
              </w:rPr>
              <w:t>$6,941,175</w:t>
            </w:r>
          </w:p>
        </w:tc>
      </w:tr>
      <w:tr>
        <w:trPr>
          <w:trHeight w:val="137"/>
        </w:trPr>
        <w:tc>
          <w:tcPr>
            <w:tcW w:w="1580" w:type="dxa"/>
            <w:vAlign w:val="bottom"/>
          </w:tcPr>
          <w:p>
            <w:pPr>
              <w:ind w:left="40"/>
              <w:spacing w:after="0" w:line="137" w:lineRule="exact"/>
              <w:rPr>
                <w:sz w:val="20"/>
                <w:szCs w:val="20"/>
                <w:color w:val="auto"/>
              </w:rPr>
            </w:pPr>
            <w:r>
              <w:rPr>
                <w:rFonts w:ascii="Arial" w:cs="Arial" w:eastAsia="Arial" w:hAnsi="Arial"/>
                <w:sz w:val="14"/>
                <w:szCs w:val="14"/>
                <w:color w:val="auto"/>
              </w:rPr>
              <w:t>Stock-based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1580" w:type="dxa"/>
            <w:vAlign w:val="bottom"/>
          </w:tcPr>
          <w:p>
            <w:pPr>
              <w:ind w:left="200"/>
              <w:spacing w:after="0" w:line="149" w:lineRule="exact"/>
              <w:rPr>
                <w:sz w:val="20"/>
                <w:szCs w:val="20"/>
                <w:color w:val="auto"/>
              </w:rPr>
            </w:pPr>
            <w:r>
              <w:rPr>
                <w:rFonts w:ascii="Arial" w:cs="Arial" w:eastAsia="Arial" w:hAnsi="Arial"/>
                <w:sz w:val="14"/>
                <w:szCs w:val="14"/>
                <w:color w:val="auto"/>
              </w:rPr>
              <w:t>compensation related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1580" w:type="dxa"/>
            <w:vAlign w:val="bottom"/>
          </w:tcPr>
          <w:p>
            <w:pPr>
              <w:ind w:left="200"/>
              <w:spacing w:after="0" w:line="149" w:lineRule="exact"/>
              <w:rPr>
                <w:sz w:val="20"/>
                <w:szCs w:val="20"/>
                <w:color w:val="auto"/>
              </w:rPr>
            </w:pPr>
            <w:r>
              <w:rPr>
                <w:rFonts w:ascii="Arial" w:cs="Arial" w:eastAsia="Arial" w:hAnsi="Arial"/>
                <w:sz w:val="14"/>
                <w:szCs w:val="14"/>
                <w:color w:val="auto"/>
              </w:rPr>
              <w:t>activity, net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8"/>
        </w:trPr>
        <w:tc>
          <w:tcPr>
            <w:tcW w:w="1580" w:type="dxa"/>
            <w:vAlign w:val="bottom"/>
          </w:tcPr>
          <w:p>
            <w:pPr>
              <w:ind w:left="200"/>
              <w:spacing w:after="0"/>
              <w:rPr>
                <w:sz w:val="20"/>
                <w:szCs w:val="20"/>
                <w:color w:val="auto"/>
              </w:rPr>
            </w:pPr>
            <w:r>
              <w:rPr>
                <w:rFonts w:ascii="Arial" w:cs="Arial" w:eastAsia="Arial" w:hAnsi="Arial"/>
                <w:sz w:val="14"/>
                <w:szCs w:val="14"/>
                <w:color w:val="auto"/>
              </w:rPr>
              <w:t>forfeitures</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79,490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51,496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51,497</w:t>
            </w: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Purchases and retirement</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94"/>
        </w:trPr>
        <w:tc>
          <w:tcPr>
            <w:tcW w:w="1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capital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(292,874)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(21,872)</w:t>
            </w: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Other comprehensive</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8"/>
        </w:trPr>
        <w:tc>
          <w:tcPr>
            <w:tcW w:w="1580" w:type="dxa"/>
            <w:vAlign w:val="bottom"/>
          </w:tcPr>
          <w:p>
            <w:pPr>
              <w:ind w:left="200"/>
              <w:spacing w:after="0"/>
              <w:rPr>
                <w:sz w:val="20"/>
                <w:szCs w:val="20"/>
                <w:color w:val="auto"/>
              </w:rPr>
            </w:pPr>
            <w:r>
              <w:rPr>
                <w:rFonts w:ascii="Arial" w:cs="Arial" w:eastAsia="Arial" w:hAnsi="Arial"/>
                <w:sz w:val="14"/>
                <w:szCs w:val="14"/>
                <w:color w:val="auto"/>
              </w:rPr>
              <w:t>income (loss)(a)</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63,148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39,432</w:t>
            </w:r>
          </w:p>
        </w:tc>
        <w:tc>
          <w:tcPr>
            <w:tcW w:w="4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37,716</w:t>
            </w: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94"/>
        </w:trPr>
        <w:tc>
          <w:tcPr>
            <w:tcW w:w="15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8"/>
              </w:rPr>
              <w:t>dividends/distributions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(626,074)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(626,074)</w:t>
            </w: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color w:val="auto"/>
                <w:w w:val="96"/>
              </w:rPr>
              <w:t>Preferred stock dividends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(43,988)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(43,988)</w:t>
            </w: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390,513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8,261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398,774</w:t>
            </w:r>
          </w:p>
        </w:tc>
      </w:tr>
      <w:tr>
        <w:trPr>
          <w:trHeight w:val="137"/>
        </w:trPr>
        <w:tc>
          <w:tcPr>
            <w:tcW w:w="1580" w:type="dxa"/>
            <w:vAlign w:val="bottom"/>
          </w:tcPr>
          <w:p>
            <w:pPr>
              <w:ind w:left="40"/>
              <w:spacing w:after="0" w:line="137" w:lineRule="exact"/>
              <w:rPr>
                <w:sz w:val="20"/>
                <w:szCs w:val="20"/>
                <w:color w:val="auto"/>
              </w:rPr>
            </w:pPr>
            <w:r>
              <w:rPr>
                <w:rFonts w:ascii="Arial" w:cs="Arial" w:eastAsia="Arial" w:hAnsi="Arial"/>
                <w:sz w:val="14"/>
                <w:szCs w:val="14"/>
                <w:color w:val="auto"/>
              </w:rPr>
              <w:t>Balance, December 31,</w:t>
            </w: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5"/>
              </w:rPr>
              <w:t>333,856,632</w:t>
            </w:r>
          </w:p>
        </w:tc>
        <w:tc>
          <w:tcPr>
            <w:tcW w:w="12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3,339</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9,775,000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6"/>
              </w:rPr>
              <w:t>$9,512,396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34,545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(18,725)</w:t>
            </w:r>
          </w:p>
        </w:tc>
        <w:tc>
          <w:tcPr>
            <w:tcW w:w="10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15,820</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(2,815,428)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21,003</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$6,737,228</w:t>
            </w:r>
          </w:p>
        </w:tc>
      </w:tr>
    </w:tbl>
    <w:p>
      <w:pPr>
        <w:spacing w:after="0" w:line="116" w:lineRule="exact"/>
        <w:rPr>
          <w:sz w:val="20"/>
          <w:szCs w:val="20"/>
          <w:color w:val="auto"/>
        </w:rPr>
      </w:pPr>
    </w:p>
    <w:p>
      <w:pPr>
        <w:ind w:left="340" w:hanging="332"/>
        <w:spacing w:after="0" w:line="273"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See the consolidated statement of operations and comprehensive income (loss) for the components of "total other comprehensive income (loss)" and note 9 with respect to the reclassification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-228600</wp:posOffset>
            </wp:positionV>
            <wp:extent cx="91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3"/>
                <w:szCs w:val="13"/>
                <w:b w:val="1"/>
                <w:bCs w:val="1"/>
                <w:color w:val="auto"/>
                <w:w w:val="93"/>
              </w:rPr>
              <w:t>CCIC Stockholders' Equity</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ind w:left="260"/>
              <w:spacing w:after="0" w:line="144" w:lineRule="exact"/>
              <w:rPr>
                <w:sz w:val="20"/>
                <w:szCs w:val="20"/>
                <w:color w:val="auto"/>
              </w:rPr>
            </w:pPr>
            <w:r>
              <w:rPr>
                <w:rFonts w:ascii="Arial" w:cs="Arial" w:eastAsia="Arial" w:hAnsi="Arial"/>
                <w:sz w:val="13"/>
                <w:szCs w:val="13"/>
                <w:b w:val="1"/>
                <w:bCs w:val="1"/>
                <w:color w:val="auto"/>
              </w:rPr>
              <w:t>4.50% Mandatory</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right"/>
              <w:ind w:right="220"/>
              <w:spacing w:after="0" w:line="135" w:lineRule="exact"/>
              <w:rPr>
                <w:sz w:val="20"/>
                <w:szCs w:val="20"/>
                <w:color w:val="auto"/>
              </w:rPr>
            </w:pPr>
            <w:r>
              <w:rPr>
                <w:rFonts w:ascii="Arial" w:cs="Arial" w:eastAsia="Arial" w:hAnsi="Arial"/>
                <w:sz w:val="13"/>
                <w:szCs w:val="13"/>
                <w:b w:val="1"/>
                <w:bCs w:val="1"/>
                <w:color w:val="auto"/>
                <w:w w:val="99"/>
              </w:rPr>
              <w:t>Convertible Preferred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gridSpan w:val="8"/>
          </w:tcPr>
          <w:p>
            <w:pPr>
              <w:jc w:val="center"/>
              <w:spacing w:after="0" w:line="135" w:lineRule="exact"/>
              <w:rPr>
                <w:sz w:val="20"/>
                <w:szCs w:val="20"/>
                <w:color w:val="auto"/>
              </w:rPr>
            </w:pPr>
            <w:r>
              <w:rPr>
                <w:rFonts w:ascii="Arial" w:cs="Arial" w:eastAsia="Arial" w:hAnsi="Arial"/>
                <w:sz w:val="13"/>
                <w:szCs w:val="13"/>
                <w:b w:val="1"/>
                <w:bCs w:val="1"/>
                <w:color w:val="auto"/>
                <w:w w:val="87"/>
              </w:rPr>
              <w:t>Accumulated Other Comprehensive Income</w:t>
            </w: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Pr>
          <w:p>
            <w:pPr>
              <w:spacing w:after="0"/>
              <w:rPr>
                <w:sz w:val="15"/>
                <w:szCs w:val="15"/>
                <w:color w:val="auto"/>
              </w:rPr>
            </w:pPr>
          </w:p>
        </w:tc>
        <w:tc>
          <w:tcPr>
            <w:tcW w:w="166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060" w:type="dxa"/>
            <w:vAlign w:val="bottom"/>
            <w:gridSpan w:val="3"/>
          </w:tcPr>
          <w:p>
            <w:pPr>
              <w:ind w:left="600"/>
              <w:spacing w:after="0"/>
              <w:rPr>
                <w:sz w:val="20"/>
                <w:szCs w:val="20"/>
                <w:color w:val="auto"/>
              </w:rPr>
            </w:pPr>
            <w:r>
              <w:rPr>
                <w:rFonts w:ascii="Arial" w:cs="Arial" w:eastAsia="Arial" w:hAnsi="Arial"/>
                <w:sz w:val="13"/>
                <w:szCs w:val="13"/>
                <w:b w:val="1"/>
                <w:bCs w:val="1"/>
                <w:color w:val="auto"/>
              </w:rPr>
              <w:t>Stock</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(Loss) ("AOCI")</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30"/>
              <w:spacing w:after="0" w:line="144"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6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7"/>
              </w:rPr>
              <w:t>Currency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interest from</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Paid-In</w:t>
            </w: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40" w:type="dxa"/>
            <w:vAlign w:val="bottom"/>
            <w:gridSpan w:val="3"/>
          </w:tcPr>
          <w:p>
            <w:pPr>
              <w:ind w:left="140"/>
              <w:spacing w:after="0" w:line="135" w:lineRule="exact"/>
              <w:rPr>
                <w:sz w:val="20"/>
                <w:szCs w:val="20"/>
                <w:color w:val="auto"/>
              </w:rPr>
            </w:pPr>
            <w:r>
              <w:rPr>
                <w:rFonts w:ascii="Arial" w:cs="Arial" w:eastAsia="Arial" w:hAnsi="Arial"/>
                <w:sz w:val="13"/>
                <w:szCs w:val="13"/>
                <w:b w:val="1"/>
                <w:bCs w:val="1"/>
                <w:color w:val="auto"/>
                <w:w w:val="94"/>
              </w:rPr>
              <w:t>Dividends/Distributions</w:t>
            </w:r>
          </w:p>
        </w:tc>
        <w:tc>
          <w:tcPr>
            <w:tcW w:w="9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discontinued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ind w:left="40"/>
              <w:spacing w:after="0"/>
              <w:rPr>
                <w:sz w:val="20"/>
                <w:szCs w:val="20"/>
                <w:color w:val="auto"/>
              </w:rPr>
            </w:pPr>
            <w:r>
              <w:rPr>
                <w:rFonts w:ascii="Arial" w:cs="Arial" w:eastAsia="Arial" w:hAnsi="Arial"/>
                <w:sz w:val="13"/>
                <w:szCs w:val="13"/>
                <w:b w:val="1"/>
                <w:bCs w:val="1"/>
                <w:color w:val="auto"/>
              </w:rPr>
              <w:t>($.01 Par)</w:t>
            </w: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($.01 Par)</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Adjustments</w:t>
            </w:r>
          </w:p>
        </w:tc>
        <w:tc>
          <w:tcPr>
            <w:tcW w:w="12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Instruments</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Total AOCI</w:t>
            </w:r>
          </w:p>
        </w:tc>
        <w:tc>
          <w:tcPr>
            <w:tcW w:w="1540" w:type="dxa"/>
            <w:vAlign w:val="bottom"/>
            <w:gridSpan w:val="3"/>
          </w:tcPr>
          <w:p>
            <w:pPr>
              <w:ind w:left="200"/>
              <w:spacing w:after="0"/>
              <w:rPr>
                <w:sz w:val="20"/>
                <w:szCs w:val="20"/>
                <w:color w:val="auto"/>
              </w:rPr>
            </w:pPr>
            <w:r>
              <w:rPr>
                <w:rFonts w:ascii="Arial" w:cs="Arial" w:eastAsia="Arial" w:hAnsi="Arial"/>
                <w:sz w:val="13"/>
                <w:szCs w:val="13"/>
                <w:b w:val="1"/>
                <w:bCs w:val="1"/>
                <w:color w:val="auto"/>
                <w:w w:val="97"/>
              </w:rPr>
              <w:t>in Excess of Earnings</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operations</w:t>
            </w: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3"/>
        </w:trPr>
        <w:tc>
          <w:tcPr>
            <w:tcW w:w="15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December 31,</w:t>
            </w: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5"/>
              </w:rPr>
              <w:t>333,856,632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3,339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w w:val="89"/>
              </w:rPr>
              <w:t>9,775,000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6"/>
              </w:rPr>
              <w:t>$9,512,396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34,545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15,820</w:t>
            </w:r>
          </w:p>
        </w:tc>
        <w:tc>
          <w:tcPr>
            <w:tcW w:w="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(2,815,428)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21,003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$6,737,228</w:t>
            </w:r>
          </w:p>
        </w:tc>
        <w:tc>
          <w:tcPr>
            <w:tcW w:w="0" w:type="dxa"/>
            <w:vAlign w:val="bottom"/>
          </w:tcPr>
          <w:p>
            <w:pPr>
              <w:spacing w:after="0"/>
              <w:rPr>
                <w:sz w:val="1"/>
                <w:szCs w:val="1"/>
                <w:color w:val="auto"/>
              </w:rPr>
            </w:pPr>
          </w:p>
        </w:tc>
      </w:tr>
      <w:tr>
        <w:trPr>
          <w:trHeight w:val="137"/>
        </w:trPr>
        <w:tc>
          <w:tcPr>
            <w:tcW w:w="1540" w:type="dxa"/>
            <w:vAlign w:val="bottom"/>
          </w:tcPr>
          <w:p>
            <w:pPr>
              <w:ind w:left="40"/>
              <w:spacing w:after="0" w:line="137" w:lineRule="exact"/>
              <w:rPr>
                <w:sz w:val="20"/>
                <w:szCs w:val="20"/>
                <w:color w:val="auto"/>
              </w:rPr>
            </w:pPr>
            <w:r>
              <w:rPr>
                <w:rFonts w:ascii="Arial" w:cs="Arial" w:eastAsia="Arial" w:hAnsi="Arial"/>
                <w:sz w:val="14"/>
                <w:szCs w:val="14"/>
                <w:color w:val="auto"/>
              </w:rPr>
              <w:t>Stock-based</w:t>
            </w: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ind w:left="200"/>
              <w:spacing w:after="0" w:line="149" w:lineRule="exact"/>
              <w:rPr>
                <w:sz w:val="20"/>
                <w:szCs w:val="20"/>
                <w:color w:val="auto"/>
              </w:rPr>
            </w:pPr>
            <w:r>
              <w:rPr>
                <w:rFonts w:ascii="Arial" w:cs="Arial" w:eastAsia="Arial" w:hAnsi="Arial"/>
                <w:sz w:val="14"/>
                <w:szCs w:val="14"/>
                <w:color w:val="auto"/>
                <w:w w:val="98"/>
              </w:rPr>
              <w:t>compensation related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ind w:left="200"/>
              <w:spacing w:after="0" w:line="149" w:lineRule="exact"/>
              <w:rPr>
                <w:sz w:val="20"/>
                <w:szCs w:val="20"/>
                <w:color w:val="auto"/>
              </w:rPr>
            </w:pPr>
            <w:r>
              <w:rPr>
                <w:rFonts w:ascii="Arial" w:cs="Arial" w:eastAsia="Arial" w:hAnsi="Arial"/>
                <w:sz w:val="14"/>
                <w:szCs w:val="14"/>
                <w:color w:val="auto"/>
              </w:rPr>
              <w:t>activity, net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40" w:type="dxa"/>
            <w:vAlign w:val="bottom"/>
          </w:tcPr>
          <w:p>
            <w:pPr>
              <w:ind w:left="200"/>
              <w:spacing w:after="0"/>
              <w:rPr>
                <w:sz w:val="20"/>
                <w:szCs w:val="20"/>
                <w:color w:val="auto"/>
              </w:rPr>
            </w:pPr>
            <w:r>
              <w:rPr>
                <w:rFonts w:ascii="Arial" w:cs="Arial" w:eastAsia="Arial" w:hAnsi="Arial"/>
                <w:sz w:val="14"/>
                <w:szCs w:val="14"/>
                <w:color w:val="auto"/>
              </w:rPr>
              <w:t>forfeitures</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251,554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65,838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65,840</w:t>
            </w:r>
          </w:p>
        </w:tc>
        <w:tc>
          <w:tcPr>
            <w:tcW w:w="0" w:type="dxa"/>
            <w:vAlign w:val="bottom"/>
          </w:tcPr>
          <w:p>
            <w:pPr>
              <w:spacing w:after="0"/>
              <w:rPr>
                <w:sz w:val="1"/>
                <w:szCs w:val="1"/>
                <w:color w:val="auto"/>
              </w:rPr>
            </w:pPr>
          </w:p>
        </w:tc>
      </w:tr>
      <w:tr>
        <w:trPr>
          <w:trHeight w:val="163"/>
        </w:trPr>
        <w:tc>
          <w:tcPr>
            <w:tcW w:w="1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Purchases and retirement</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capital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(29,657)</w:t>
            </w:r>
          </w:p>
        </w:tc>
        <w:tc>
          <w:tcPr>
            <w:tcW w:w="0" w:type="dxa"/>
            <w:vAlign w:val="bottom"/>
          </w:tcPr>
          <w:p>
            <w:pPr>
              <w:spacing w:after="0"/>
              <w:rPr>
                <w:sz w:val="1"/>
                <w:szCs w:val="1"/>
                <w:color w:val="auto"/>
              </w:rPr>
            </w:pPr>
          </w:p>
        </w:tc>
      </w:tr>
      <w:tr>
        <w:trPr>
          <w:trHeight w:val="157"/>
        </w:trPr>
        <w:tc>
          <w:tcPr>
            <w:tcW w:w="1540" w:type="dxa"/>
            <w:vAlign w:val="bottom"/>
          </w:tcPr>
          <w:p>
            <w:pPr>
              <w:ind w:left="40"/>
              <w:spacing w:after="0" w:line="157" w:lineRule="exact"/>
              <w:rPr>
                <w:sz w:val="20"/>
                <w:szCs w:val="20"/>
                <w:color w:val="auto"/>
              </w:rPr>
            </w:pPr>
            <w:r>
              <w:rPr>
                <w:rFonts w:ascii="Arial" w:cs="Arial" w:eastAsia="Arial" w:hAnsi="Arial"/>
                <w:sz w:val="14"/>
                <w:szCs w:val="14"/>
                <w:color w:val="auto"/>
              </w:rPr>
              <w:t>Other comprehensive</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40" w:type="dxa"/>
            <w:vAlign w:val="bottom"/>
          </w:tcPr>
          <w:p>
            <w:pPr>
              <w:ind w:left="200"/>
              <w:spacing w:after="0"/>
              <w:rPr>
                <w:sz w:val="20"/>
                <w:szCs w:val="20"/>
                <w:color w:val="auto"/>
              </w:rPr>
            </w:pPr>
            <w:r>
              <w:rPr>
                <w:rFonts w:ascii="Arial" w:cs="Arial" w:eastAsia="Arial" w:hAnsi="Arial"/>
                <w:sz w:val="14"/>
                <w:szCs w:val="14"/>
                <w:color w:val="auto"/>
              </w:rPr>
              <w:t>income (loss)</w:t>
            </w:r>
            <w:r>
              <w:rPr>
                <w:rFonts w:ascii="Arial" w:cs="Arial" w:eastAsia="Arial" w:hAnsi="Arial"/>
                <w:sz w:val="8"/>
                <w:szCs w:val="8"/>
                <w:color w:val="auto"/>
              </w:rPr>
              <w:t>(a)</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(38,943)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18,725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(20,218)</w:t>
            </w:r>
          </w:p>
        </w:tc>
        <w:tc>
          <w:tcPr>
            <w:tcW w:w="4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(21,090)</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Disposition of CCAL</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(23,474)</w:t>
            </w:r>
          </w:p>
        </w:tc>
        <w:tc>
          <w:tcPr>
            <w:tcW w:w="0" w:type="dxa"/>
            <w:vAlign w:val="bottom"/>
          </w:tcPr>
          <w:p>
            <w:pPr>
              <w:spacing w:after="0"/>
              <w:rPr>
                <w:sz w:val="1"/>
                <w:szCs w:val="1"/>
                <w:color w:val="auto"/>
              </w:rPr>
            </w:pPr>
          </w:p>
        </w:tc>
      </w:tr>
      <w:tr>
        <w:trPr>
          <w:trHeight w:val="157"/>
        </w:trPr>
        <w:tc>
          <w:tcPr>
            <w:tcW w:w="1540" w:type="dxa"/>
            <w:vAlign w:val="bottom"/>
          </w:tcPr>
          <w:p>
            <w:pPr>
              <w:ind w:left="40"/>
              <w:spacing w:after="0" w:line="157" w:lineRule="exact"/>
              <w:rPr>
                <w:sz w:val="20"/>
                <w:szCs w:val="20"/>
                <w:color w:val="auto"/>
              </w:rPr>
            </w:pPr>
            <w:r>
              <w:rPr>
                <w:rFonts w:ascii="Arial" w:cs="Arial" w:eastAsia="Arial" w:hAnsi="Arial"/>
                <w:sz w:val="14"/>
                <w:szCs w:val="14"/>
                <w:color w:val="auto"/>
              </w:rPr>
              <w:t>Common stock</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40" w:type="dxa"/>
            <w:vAlign w:val="bottom"/>
          </w:tcPr>
          <w:p>
            <w:pPr>
              <w:ind w:left="200"/>
              <w:spacing w:after="0"/>
              <w:rPr>
                <w:sz w:val="20"/>
                <w:szCs w:val="20"/>
                <w:color w:val="auto"/>
              </w:rPr>
            </w:pPr>
            <w:r>
              <w:rPr>
                <w:rFonts w:ascii="Arial" w:cs="Arial" w:eastAsia="Arial" w:hAnsi="Arial"/>
                <w:sz w:val="14"/>
                <w:szCs w:val="14"/>
                <w:color w:val="auto"/>
                <w:w w:val="95"/>
              </w:rPr>
              <w:t>dividends/distributions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(1,119,973)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(1,119,973)</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Preferred stock dividends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(43,988)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(43,988)</w:t>
            </w:r>
          </w:p>
        </w:tc>
        <w:tc>
          <w:tcPr>
            <w:tcW w:w="0" w:type="dxa"/>
            <w:vAlign w:val="bottom"/>
          </w:tcPr>
          <w:p>
            <w:pPr>
              <w:spacing w:after="0"/>
              <w:rPr>
                <w:sz w:val="1"/>
                <w:szCs w:val="1"/>
                <w:color w:val="auto"/>
              </w:rPr>
            </w:pPr>
          </w:p>
        </w:tc>
      </w:tr>
      <w:tr>
        <w:trPr>
          <w:trHeight w:val="264"/>
        </w:trPr>
        <w:tc>
          <w:tcPr>
            <w:tcW w:w="15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1,520,992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1,524,335</w:t>
            </w:r>
          </w:p>
        </w:tc>
        <w:tc>
          <w:tcPr>
            <w:tcW w:w="0" w:type="dxa"/>
            <w:vAlign w:val="bottom"/>
          </w:tcPr>
          <w:p>
            <w:pPr>
              <w:spacing w:after="0"/>
              <w:rPr>
                <w:sz w:val="1"/>
                <w:szCs w:val="1"/>
                <w:color w:val="auto"/>
              </w:rPr>
            </w:pPr>
          </w:p>
        </w:tc>
      </w:tr>
      <w:tr>
        <w:trPr>
          <w:trHeight w:val="143"/>
        </w:trPr>
        <w:tc>
          <w:tcPr>
            <w:tcW w:w="15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December 31,</w:t>
            </w:r>
          </w:p>
        </w:tc>
        <w:tc>
          <w:tcPr>
            <w:tcW w:w="8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95"/>
              </w:rPr>
              <w:t>333,771,660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3,338</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ind w:left="60"/>
              <w:spacing w:after="0"/>
              <w:rPr>
                <w:sz w:val="20"/>
                <w:szCs w:val="20"/>
                <w:color w:val="auto"/>
              </w:rPr>
            </w:pPr>
            <w:r>
              <w:rPr>
                <w:rFonts w:ascii="Arial" w:cs="Arial" w:eastAsia="Arial" w:hAnsi="Arial"/>
                <w:sz w:val="14"/>
                <w:szCs w:val="14"/>
                <w:color w:val="auto"/>
                <w:w w:val="89"/>
              </w:rPr>
              <w:t>9,775,000</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96"/>
              </w:rPr>
              <w:t>$9,548,580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(4,398)</w:t>
            </w:r>
          </w:p>
        </w:tc>
        <w:tc>
          <w:tcPr>
            <w:tcW w:w="120" w:type="dxa"/>
            <w:vAlign w:val="bottom"/>
            <w:tcBorders>
              <w:top w:val="single" w:sz="8" w:color="CCEEFF"/>
            </w:tcBorders>
            <w:vMerge w:val="restart"/>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vMerge w:val="restart"/>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(4,398)</w:t>
            </w:r>
          </w:p>
        </w:tc>
        <w:tc>
          <w:tcPr>
            <w:tcW w:w="42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(2,458,397)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vMerge w:val="restart"/>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94"/>
              </w:rPr>
              <w:t>$7,089,221</w:t>
            </w:r>
          </w:p>
        </w:tc>
        <w:tc>
          <w:tcPr>
            <w:tcW w:w="0" w:type="dxa"/>
            <w:vAlign w:val="bottom"/>
          </w:tcPr>
          <w:p>
            <w:pPr>
              <w:spacing w:after="0"/>
              <w:rPr>
                <w:sz w:val="1"/>
                <w:szCs w:val="1"/>
                <w:color w:val="auto"/>
              </w:rPr>
            </w:pPr>
          </w:p>
        </w:tc>
      </w:tr>
      <w:tr>
        <w:trPr>
          <w:trHeight w:val="181"/>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2015</w:t>
            </w: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line="273"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See the consolidated statement of operations and comprehensive income (loss) for the components of "total other comprehensive income (loss)" and note 9 with respect to the reclassification adjustment.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0" w:lineRule="exact"/>
        <w:rPr>
          <w:sz w:val="20"/>
          <w:szCs w:val="20"/>
          <w:color w:val="auto"/>
        </w:rPr>
      </w:pPr>
    </w:p>
    <w:p>
      <w:pPr>
        <w:spacing w:after="0" w:line="250"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consolidated financial statements include the accounts of Crown Castle International Corp. and its predecessor, as applicable (together, "CCIC"), and their subsidiaries, collectively referred to herein as the "Company." All significant intercompany balances and transactions have been eliminated in consolidation. As used herein, the term "including," and any variation thereof, means "including without limitation." The use of the word "or" herein is not exclusive.</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owns, operates, and leases shared wireless infrastructure, including: (1) towers and other structures, such as rooftops (collectively, "towers"), and (2) small cell networks supported by fiber (collectively, "small cells" and, together with towers, "wireless infrastructure"). The Company conducts operations through subsidiaries of Crown Castle Operating Company ("CCOC"), including certain subsidiaries which operate wireless infrastructure portfolios in the United States, including Puerto Rico ("U.S."). See note 3 for a discussion of the May 2015 sale of the Company's formerly 77.6% owned subsidiary that operated towers in Australia (referred to as "CCAL").</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core business is providing access, including space or capacity, to its shared wireless infrastructure via long-term contracts in various forms, including licenses, subleases and lease agreements (collectively, "leases"). The Company's wireless infrastructure is geographically dispersed throughout the U.S.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Approximately 54% of the Company's towers are leased or subleased or operated and managed under master leases, subleases, or other agreements with AT&amp;T, Sprint, and T-Mobile. The Company has the option to purchase these towers at the end of their respective lease terms. The Company has no obligation to exercise such purchase options. Additional information concerning these towers is as follows:</w:t>
      </w:r>
    </w:p>
    <w:p>
      <w:pPr>
        <w:spacing w:after="0" w:line="127" w:lineRule="exact"/>
        <w:rPr>
          <w:sz w:val="20"/>
          <w:szCs w:val="20"/>
          <w:color w:val="auto"/>
        </w:rPr>
      </w:pPr>
    </w:p>
    <w:p>
      <w:pPr>
        <w:jc w:val="both"/>
        <w:ind w:left="820" w:hanging="407"/>
        <w:spacing w:after="0" w:line="279"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23% of the Company's towers are leased or subleased or operated and managed under a master prepaid lease or other related agreements with AT&amp;T for a weighted-average initial term of approximately 28 years, weighted on site rental gross margin. The Company has the option to purchase the leased and subleased towers from AT&amp;T at the end of the respective lease or sublease terms for aggregate option payments of approximately $4.2 billion, which payments, if exercised, would be due between 2032 and 2048.</w:t>
      </w:r>
    </w:p>
    <w:p>
      <w:pPr>
        <w:spacing w:after="0" w:line="117" w:lineRule="exact"/>
        <w:rPr>
          <w:rFonts w:ascii="Arial" w:cs="Arial" w:eastAsia="Arial" w:hAnsi="Arial"/>
          <w:sz w:val="17"/>
          <w:szCs w:val="17"/>
          <w:color w:val="auto"/>
        </w:rPr>
      </w:pPr>
    </w:p>
    <w:p>
      <w:pPr>
        <w:jc w:val="both"/>
        <w:ind w:left="820" w:hanging="407"/>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16% of the Company's towers are leased or subleased or operated and managed for an initial period of 32 years (through May 2037) under master leases, subleases, or other agreements with Sprint. The Company has the option to purchase in 2037 all (but not less than all) of the leased and subleased Sprint towers from Sprint for approximately $2.3 billion.</w:t>
      </w:r>
    </w:p>
    <w:p>
      <w:pPr>
        <w:spacing w:after="0" w:line="127" w:lineRule="exact"/>
        <w:rPr>
          <w:rFonts w:ascii="Arial" w:cs="Arial" w:eastAsia="Arial" w:hAnsi="Arial"/>
          <w:sz w:val="18"/>
          <w:szCs w:val="18"/>
          <w:color w:val="auto"/>
        </w:rPr>
      </w:pPr>
    </w:p>
    <w:p>
      <w:pPr>
        <w:jc w:val="both"/>
        <w:ind w:left="820" w:hanging="407"/>
        <w:spacing w:after="0" w:line="271"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15% of the Company's towers are leased or subleased or operated and managed under a master prepaid lease or other related agreements with T-Mobile for a weighted-average initial term of approximately 28 years, weighted on site rental gross margin. The Company has the option to purchase the leased and subleased towers from T-Mobile at the end of the respective lease or sublease terms for aggregate option payments of approximately $2.0 billion, which payments, if exercised would be due between 2035 and 2049. In addition, through the T-Mobile Acquisition (as defined in note 4), there are another approximately 1% of the Company's towers subject to a lease and sublease or other related arrangements with AT&amp;T. The Company has the option to purchase these towers that it does not otherwise already own at the end of their respective lease terms for aggregate option payments of up to approximately $405 million, which payments, if exercised, would be due between 2018 and 2032 (less than $10 million would be due before 2025).</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the Company's effort to provide comprehensive wireless infrastructure solutions, it offers certain network services relating to its wireless infrastructure, consisting of (1) the following site development services relating to existing or new tenant equipment installations on its wireless infrastructure: site acquisition, architectural and engineering, or zoning and permitting (collectively, "site development services") and (2) tenant equipment installation or subsequent augmentations (collectively, "installation services").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Effective January 1, 2014, the Company commenced operating as a real estate investment trust ("REIT") for U.S. federal income tax purposes. In addition, the Company has certain taxable REIT subsidiaries ("TRSs"). See note 11.</w:t>
      </w:r>
    </w:p>
    <w:p>
      <w:pPr>
        <w:spacing w:after="0" w:line="29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7620" w:hanging="412"/>
        <w:spacing w:after="0" w:line="440" w:lineRule="auto"/>
        <w:tabs>
          <w:tab w:leader="none" w:pos="4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Restricted Cash</w:t>
      </w:r>
    </w:p>
    <w:p>
      <w:pPr>
        <w:spacing w:after="0" w:line="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Restricted cash represents (1) the cash held in reserve by the indenture trustees pursuant to the indenture governing certain of the Company's debt instruments, (2) cash securing performance obligations such as letters of credit, as well as (3) any other cash whose use is limited by contractual provisions. The restriction of rental cash receipts is a critical feature of certain of the Company's debt instruments, due to the applicable indenture trustee's ability to utilize the restricted cash for the payment of (1) debt service costs, (2) ground rents, (3) real estate or personal property taxes, (4) insurance premiums related to towers, (5) other assessments by governmental authorities and potential environmental remediation costs, or (6) a portion of advance rents from tenants. The restricted cash in excess of required reserve balances is subsequently released to the Company in accordance with the terms of the indentures. The Company has classified the increases and decreases in restricted cash as (1) cash provided by financing activities for cash held by indenture trustees based on consideration of the terms of the related indebtedness, although the cash flows have aspects of both financing activities and operating activities, (2) cash provided by investing activities for cash securing performance obligations and restricted cash that is acquired in acquisitions, or (3) cash provided by operating activities for the other remaining restricted cash.</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impact of restricted cash on the statement of cash flows.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r>
      <w:tr>
        <w:trPr>
          <w:trHeight w:val="250"/>
        </w:trPr>
        <w:tc>
          <w:tcPr>
            <w:tcW w:w="7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(used from) operating activities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3,974</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6,148</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gridSpan w:val="3"/>
          </w:tcPr>
          <w:p>
            <w:pPr>
              <w:ind w:left="40"/>
              <w:spacing w:after="0"/>
              <w:rPr>
                <w:sz w:val="20"/>
                <w:szCs w:val="20"/>
                <w:color w:val="auto"/>
              </w:rPr>
            </w:pPr>
            <w:r>
              <w:rPr>
                <w:rFonts w:ascii="Arial" w:cs="Arial" w:eastAsia="Arial" w:hAnsi="Arial"/>
                <w:sz w:val="16"/>
                <w:szCs w:val="16"/>
                <w:color w:val="auto"/>
              </w:rPr>
              <w:t>Net cash provided by (used from) investing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(3,752)</w:t>
            </w:r>
          </w:p>
        </w:tc>
        <w:tc>
          <w:tcPr>
            <w:tcW w:w="36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8,067</w:t>
            </w:r>
          </w:p>
        </w:tc>
        <w:tc>
          <w:tcPr>
            <w:tcW w:w="360" w:type="dxa"/>
            <w:vAlign w:val="bottom"/>
          </w:tcPr>
          <w:p>
            <w:pPr>
              <w:spacing w:after="0"/>
              <w:rPr>
                <w:sz w:val="20"/>
                <w:szCs w:val="20"/>
                <w:color w:val="auto"/>
              </w:rPr>
            </w:pP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(used from) financing activities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16,458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30,011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385,982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w:t>
            </w:r>
          </w:p>
        </w:tc>
      </w:tr>
      <w:tr>
        <w:trPr>
          <w:trHeight w:val="135"/>
        </w:trPr>
        <w:tc>
          <w:tcPr>
            <w:tcW w:w="1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r>
    </w:tbl>
    <w:p>
      <w:pPr>
        <w:spacing w:after="0" w:line="15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Inclusive of $316.6 million of cash held by the trustee as of December 31, 2012 and subsequently released to retire the 7.75% Secured Notes in January 2013.</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Receivables Allowance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either to "site rental costs of operations" or to "network services and other costs of operations," as appropriate; and deductions from the allowance are recorded when specific accounts receivable are written off as uncollectible.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"costs of operations"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a portion of space on a tower) and for which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objectively determinable, then such a lease is accounted for as an operating lease. As applicable, operating leases are recognized on a straight-line basis as discussed under "Revenue Recognition."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and Equipment</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associated deferred ground lease payable or unamortized above-market leases. Depreciation is computed utilizing the straight-line method at rates based upon the estimated useful lives of the various classes of assets. Depreciation of wireless infrastructure is computed with a useful life equal to the shorter of 20 years or the term of the underlying ground lease (including optional renewal periods). Additions, renewals, and improvements are capitalized, while maintenance and repairs are expensed. Labor and interest costs incurred directly related to the construction of certain property and equipment are capitalized during the construction phase of projects. For the years ended December 31, 2015, 2014, and 2013, the Company had $36.7 million, $24.2 million and $17.6 million in capitalized labor costs, respectively. The carrying value of property and equipment is reviewed for impairment whenever events or changes in circumstances indicate that the carrying amount of the assets may not be recoverable.</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Abandonments and write-offs of property and equipment are recorded to "asset write-downs charges" on the Company's consolidated statement of operations and comprehensive income (loss) and were $27.0 million, $9.3 million, and $8.9 million for the years ended December 31, 2015, 2014, and 2013,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wireless infrastructure or remediate the land upon which the Company's wireless infrastructure resides. Asset retirement obligations are included in "other long-term liabilities" on the Company's consolidated balance sheet. The liability accretes as a result of the passage of time and the related accretion expense is included in "depreciation, amortization, and accretion" on the Company's consolidated statement of operations and comprehensive income (loss). The associated asset retirement costs are capitalized as an additional carrying amount of the related long-lived asset and depreciated over the useful life of such asset.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impairment if there is an indication from the first step that one exists. The Company's measurement of the fair value for goodwill is based on an estimate of discounted expected future cash flows of the reporting unit. The Company performed its most recent annual goodwill impairment test as of October 1, 2015, which resulted in no impairments.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customer relationships, net" and "other intangible assets, net" on the Company's consolidated balance sheet and predominately consist of the estimated fair value of the following items recorded in conjunction with acquisitions: (1) site rental contracts and customer relationships, (2) below-market leases for land interest under the acquired wireless infrastructure, or (3) other contractual rights such as trademarks. The site rental contracts and customer relationships intangible assets are comprised of (1) the current term of the existing leases, (2) the expected exercise of the renewal provisions contained within the existing leases, which automatically occur under contractual provisions, or (3) any associated relationships that are expected to generate value following the expiration of all renewal periods under existing leases.</w:t>
      </w:r>
    </w:p>
    <w:p>
      <w:pPr>
        <w:spacing w:after="0" w:line="12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useful lives of intangible assets are estimated based on the period over which the intangible asset is expected to benefit the Company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wireless infrastructure (20 years), as a result of the interdependency of the wireless infrastructure and site rental leases. In 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which includes assumptions regarding both (1) tenants' exercise of optional renewals contained in the acquired leases and (2) renewals of the acquired leases past the contractual term including exercisable options, the site rental contracts and customer relationships are amortized over a period not to exceed 20 years as a result of the useful life being limited by the depreciable life of the wireless infrastructure.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wireless infrastructure assets into 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Credits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Deferred credits are included in “deferred revenues” and “other long-term liabilities” on the Company's consolidated balance sheet and consist of the estimated fair value of the following items recorded in conjunction with acquisitions: (1) below-market tenant leases for contractual interests with tenants on acquired wireless infrastructure, which are amortized to site rental revenues and (2) above-market leases for land interests under the Company's wireless infrastructure, which are amortized to site rental cost of operations.</w:t>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Fair value for these deferred credits represents the difference between (1) the stated contractual payments to be made pursuant to the in-place lease and</w:t>
      </w:r>
    </w:p>
    <w:p>
      <w:pPr>
        <w:spacing w:after="0" w:line="46" w:lineRule="exact"/>
        <w:rPr>
          <w:sz w:val="20"/>
          <w:szCs w:val="20"/>
          <w:color w:val="auto"/>
        </w:rPr>
      </w:pPr>
    </w:p>
    <w:p>
      <w:pPr>
        <w:jc w:val="both"/>
        <w:ind w:firstLine="8"/>
        <w:spacing w:after="0" w:line="255" w:lineRule="auto"/>
        <w:tabs>
          <w:tab w:leader="none" w:pos="2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management's estimate of fair market lease rates for each corresponding lease. Deferred credits are measured over a period equal to the estimated remaining economic lease term considering renewal provisions or economics associated with those renewal provisions, to the extent applicable. Deferred credits are amortized over their respected estimated lease terms at the time of acquisition.</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Financing Costs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Third-party costs incurred to obtain financing are deferred and are included in "long-term prepaid rent, deferred financing costs, and other assets, net" on the Company's consolidated balance sheet.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are recognized on a monthly basis over the fixed, non-cancelable term of the relevant lease (generally ranging from five to 15 years), regardless of whether the payments from the tenant are received in equal monthly amounts. The Company's leases contain fixed escalation clauses (such as fixed dollar or fixed percentage increases) or inflation-based escalation clauses (such as those tied to the consumer price index ("CPI")). If the payment terms call for fixed escalations, upfront payments, or rent 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"other current assets" and "deferred site rental receivables." Amounts billed or received prior to being earned are deferred and reflected in "deferred revenues" and "other long-term liabilities."</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Network services revenues are recognized after completion of the applicable service. Nearly all of the installation services are billed on a cost-plus profit basis and site development services are billed on a fixed fee basis.</w:t>
      </w:r>
    </w:p>
    <w:p>
      <w:pPr>
        <w:spacing w:after="0" w:line="116" w:lineRule="exact"/>
        <w:rPr>
          <w:sz w:val="20"/>
          <w:szCs w:val="20"/>
          <w:color w:val="auto"/>
        </w:rPr>
      </w:pPr>
    </w:p>
    <w:p>
      <w:pPr>
        <w:ind w:left="420" w:right="1780"/>
        <w:spacing w:after="0" w:line="438" w:lineRule="auto"/>
        <w:rPr>
          <w:sz w:val="20"/>
          <w:szCs w:val="20"/>
          <w:color w:val="auto"/>
        </w:rPr>
      </w:pPr>
      <w:r>
        <w:rPr>
          <w:rFonts w:ascii="Arial" w:cs="Arial" w:eastAsia="Arial" w:hAnsi="Arial"/>
          <w:sz w:val="18"/>
          <w:szCs w:val="18"/>
          <w:color w:val="auto"/>
        </w:rPr>
        <w:t xml:space="preserve">Sales taxes or value-added taxes collected from customers and remitted to governmental authorities are presented on a net basis. </w:t>
      </w:r>
      <w:r>
        <w:rPr>
          <w:rFonts w:ascii="Arial" w:cs="Arial" w:eastAsia="Arial" w:hAnsi="Arial"/>
          <w:sz w:val="18"/>
          <w:szCs w:val="18"/>
          <w:i w:val="1"/>
          <w:iCs w:val="1"/>
          <w:color w:val="auto"/>
        </w:rPr>
        <w:t>Costs of Operations</w:t>
      </w:r>
    </w:p>
    <w:p>
      <w:pPr>
        <w:spacing w:after="0" w:line="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excess of two-thirds of the Company's site rental costs of operations expenses consist of ground lease expenses, and the remainder includes property taxes, repairs and maintenance expenses, employee compensation or related benefit costs, or utilities. Generally, the ground leases for land are specific to each site and are for an initial term of five years and are renewable for pre-determined periods. The Company also enters into term easements and ground leases in which it prepays the entire term in advance. Ground lease expense is recognized on a monthly basis, regardless of whether the lease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wireless infrastructure asset. Further, when a tenant has exercisable renewal options that would compel the Company to exercise existing ground lease renewal options, the Company has straight-lined the ground lease expense over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sufficient portion of such ground lease renewals to coincide with the final termination of the tenant's renewal options. The Company's non-current liability related to straight-line ground lease expense is included in "other long-term liabilities" on the Company's consolidated balance sheet. The Company's assets related to prepaid ground leases is included in "prepaid expenses" and "long-term prepaid rent, deferred financing costs and other assets, net" on the Company's consolidated balance sheet.</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Network services and other costs of operations predominately consist of third party service providers such as contractors and professional service firms and, to a lesser extent, internal labor costs. As of December 31, 2015 and 2014, the Company had $55.3 million and $60.7 million, respectively, of work in process.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 and Integration Costs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All direct or incremental costs related to a business combination are expensed as incurred. Costs include severance, retention bonuses payable to employees of an acquired enterprise, temporary employees to assist with the integration of the acquired operations, or fees paid for services such as consulting, accounting, legal, or engineering reviews. These business combination costs are included in "acquisition and integration costs" on the Company's consolidated statement of operations and comprehensive income (loss). See note 4 for a discussion of our acquisitions during 2013, 2014, and 2015. In addition, during 2012, the Company acquired (1) rights to approximately 7,100 towers through the T-Mobile Acquisition and (2) NextG Networks, Inc., the then largest U.S operator of outdoor distributed antenna systems ("DAS"), a type of small cells.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Restricted Stock Awards and Restricted Stock Units. </w:t>
      </w:r>
      <w:r>
        <w:rPr>
          <w:rFonts w:ascii="Arial" w:cs="Arial" w:eastAsia="Arial" w:hAnsi="Arial"/>
          <w:sz w:val="18"/>
          <w:szCs w:val="18"/>
          <w:color w:val="auto"/>
        </w:rPr>
        <w:t>The Company records stock-based compensation expense only for those unvested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("RSAs") and unvested restricted stock units ("RSUs") for which the requisite service is expected to be rendered. The cumulative effect of a change in the estimated number of RSAs and RSUs for which the requisite service is expected to be or has been rendered is recognized in the period of the change in the estimate. To the extent that the requisite service is rendered, compensation cost for accounting purposes is not reversed; rather, it is recognized regardless of whether or not the awards vest. A discussion of the Company's valuation techniques and related assumptions and estimates used to measure the Company's stock-based compensation is as follows:</w:t>
      </w:r>
    </w:p>
    <w:p>
      <w:pPr>
        <w:spacing w:after="0" w:line="13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Valuation. </w:t>
      </w:r>
      <w:r>
        <w:rPr>
          <w:rFonts w:ascii="Arial" w:cs="Arial" w:eastAsia="Arial" w:hAnsi="Arial"/>
          <w:sz w:val="16"/>
          <w:szCs w:val="16"/>
          <w:color w:val="auto"/>
        </w:rPr>
        <w:t>The fair value of RSAs and RSUs without market conditions is determined based on the number of shares relating to such RSAs and RSUs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quoted price of the Company's common stock at the date of grant. The Company estimates the fair value of RSAs and RSUs with market conditions granted using a Monte Carlo simulation. The Company's determination of the fair value of RSAs and RSUs with market conditions on the date of grant is affected by its common stock price as well as assumptions regarding a number of highly complex or subjective variables. The determination of fair value using a Monte Carlo simulation requires the input of subjective assumptions, and other reasonable assumptions could provide differing results.</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Amortization Method. </w:t>
      </w:r>
      <w:r>
        <w:rPr>
          <w:rFonts w:ascii="Arial" w:cs="Arial" w:eastAsia="Arial" w:hAnsi="Arial"/>
          <w:sz w:val="18"/>
          <w:szCs w:val="18"/>
          <w:color w:val="auto"/>
        </w:rPr>
        <w:t>The Company amortizes the fair value of all RSAs and RSUs on a straight-line basis for each separately vesting tranche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(graded vesting schedule) over the requisite service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Company estimates the volatility of its common stock at the date of grant based on the historical volatility of its common stock.</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The expected dividend rate at the date of grant is based on the then-current dividend yield.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Company bases the risk-free rate on the implied yield currently available on U.S. Treasury issues with an equivalent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 equal to the expected life of the award.</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The Company uses historical data and management's judgment about the future employee turnover rates to estimate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 requisite service period will not be rendered.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2013</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490,002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492,437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490,385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22,077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22,190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25,120</w:t>
            </w:r>
          </w:p>
        </w:tc>
      </w:tr>
      <w:tr>
        <w:trPr>
          <w:trHeight w:val="33"/>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adjustments on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8,541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Amortization of interest rate swaps</w:t>
            </w:r>
          </w:p>
        </w:tc>
        <w:tc>
          <w:tcPr>
            <w:tcW w:w="9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18,725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63,148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64,928</w:t>
            </w:r>
          </w:p>
        </w:tc>
      </w:tr>
      <w:tr>
        <w:trPr>
          <w:trHeight w:val="33"/>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interest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2,158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2,488</w:t>
            </w:r>
          </w:p>
        </w:tc>
      </w:tr>
      <w:tr>
        <w:trPr>
          <w:trHeight w:val="3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527,128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589,630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amortizes deferred financing costs, discounts, premiums, and purchase price adjustments on long-term debt over the estimated term of the related borrowing using the effective interest yield method. Discounts or purchase price adjustments are presented as a reduction to the related debt obligation on the Company's consolidated balance sheet.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Effective January 1, 2014, the Company commenced operating as a REIT for U.S. federal income tax purposes. </w:t>
      </w:r>
      <w:r>
        <w:rPr>
          <w:rFonts w:ascii="Arial" w:cs="Arial" w:eastAsia="Arial" w:hAnsi="Arial"/>
          <w:sz w:val="18"/>
          <w:szCs w:val="18"/>
          <w:color w:val="000000"/>
        </w:rPr>
        <w:t>As a REIT, the Company is generally</w:t>
      </w:r>
      <w:r>
        <w:rPr>
          <w:rFonts w:ascii="Arial" w:cs="Arial" w:eastAsia="Arial" w:hAnsi="Arial"/>
          <w:sz w:val="18"/>
          <w:szCs w:val="18"/>
          <w:color w:val="231F20"/>
        </w:rPr>
        <w:t xml:space="preserve"> </w:t>
      </w:r>
      <w:r>
        <w:rPr>
          <w:rFonts w:ascii="Arial" w:cs="Arial" w:eastAsia="Arial" w:hAnsi="Arial"/>
          <w:sz w:val="18"/>
          <w:szCs w:val="18"/>
          <w:color w:val="000000"/>
        </w:rPr>
        <w:t>entitled to a deduction for dividends that it pays and therefore is not subject to U.S. federal corporate income tax on its taxable income that is currently distributed to its stockholders. The Company also may be subject to certain federal, state, local, and foreign taxes on its income and assets, including (1) alternative minimum taxes, (2) taxes on any undistributed income, (3) taxes related to the TRSs, (4) certain state, local, or foreign income taxes, (5) franchise taxes, (6) property taxes, and (7) transfer taxes. In addition, the Company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3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2014, the Company received a favorable private letter ruling from the Internal Revenue Service ("IRS"), which provides that the real property portion of the Company's small cells and the related rents qualify as real property and rents from real property, respectively, under the rules governing REITs. </w:t>
      </w:r>
      <w:r>
        <w:rPr>
          <w:rFonts w:ascii="Arial" w:cs="Arial" w:eastAsia="Arial" w:hAnsi="Arial"/>
          <w:sz w:val="18"/>
          <w:szCs w:val="18"/>
          <w:color w:val="231F20"/>
        </w:rPr>
        <w:t xml:space="preserve">During the fourth quarter of 2015, the Company completed the necessary steps to include small cells that were previously included in one or more wholly-owned TRSs in the REIT effective January 2016. </w:t>
      </w:r>
      <w:r>
        <w:rPr>
          <w:rFonts w:ascii="Arial" w:cs="Arial" w:eastAsia="Arial" w:hAnsi="Arial"/>
          <w:sz w:val="18"/>
          <w:szCs w:val="18"/>
          <w:color w:val="000000"/>
        </w:rPr>
        <w:t>As a result, during the fourth quarter of 2015, the Company de-recognized the related net deferred tax</w:t>
      </w:r>
      <w:r>
        <w:rPr>
          <w:rFonts w:ascii="Arial" w:cs="Arial" w:eastAsia="Arial" w:hAnsi="Arial"/>
          <w:sz w:val="18"/>
          <w:szCs w:val="18"/>
          <w:color w:val="231F20"/>
        </w:rPr>
        <w:t xml:space="preserve"> </w:t>
      </w:r>
      <w:r>
        <w:rPr>
          <w:rFonts w:ascii="Arial" w:cs="Arial" w:eastAsia="Arial" w:hAnsi="Arial"/>
          <w:sz w:val="18"/>
          <w:szCs w:val="18"/>
          <w:color w:val="000000"/>
        </w:rPr>
        <w:t>liabilities. See note 11.</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Additionally, the Company has included in TRSs certain other assets and operations. Those TRS assets and operations will continue to be subject, as applicable, to federal and state corporate income taxes or to foreign taxes in the jurisdictions in which such assets and operations are located. The Company's foreign assets and operations (including its tower operations in Puerto Rico) most likely will be subject to foreign income taxes in the jurisdictions in which such assets and operations are located, regardless of whether they are included in a TRS or not. </w:t>
      </w:r>
      <w:r>
        <w:rPr>
          <w:rFonts w:ascii="Arial" w:cs="Arial" w:eastAsia="Arial" w:hAnsi="Arial"/>
          <w:sz w:val="16"/>
          <w:szCs w:val="16"/>
          <w:color w:val="000000"/>
        </w:rPr>
        <w:t>The Company will be subject to a federal corporate level tax</w:t>
      </w:r>
      <w:r>
        <w:rPr>
          <w:rFonts w:ascii="Arial" w:cs="Arial" w:eastAsia="Arial" w:hAnsi="Arial"/>
          <w:sz w:val="16"/>
          <w:szCs w:val="16"/>
          <w:color w:val="231F20"/>
        </w:rPr>
        <w:t xml:space="preserve"> </w:t>
      </w:r>
      <w:r>
        <w:rPr>
          <w:rFonts w:ascii="Arial" w:cs="Arial" w:eastAsia="Arial" w:hAnsi="Arial"/>
          <w:sz w:val="16"/>
          <w:szCs w:val="16"/>
          <w:color w:val="000000"/>
        </w:rPr>
        <w:t>rate (currently 35%) on the gain recognized from the sale of assets occurring within a specified period (generally 10 years) after the REIT conversion up to the amount of the built in gain that existed on January 1, 2014, which is based upon the fair market value of those assets in excess of the Company's tax basis on January 1, 2014. This gain can be offset by any remaining federal net operating loss carryforwards ("NOLs").</w:t>
      </w:r>
    </w:p>
    <w:p>
      <w:pPr>
        <w:spacing w:after="0" w:line="11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For the Company's TRSs, the Company accounts for income taxes using an asset and liability approach, which requires the recognition of deferred income tax assets and liabilities for the expected future tax consequences of events that have been recognized in the Company's financial statements or tax returns. Deferred income tax assets and liabilities are determined based on the temporary differences between the financial statement and tax bases of assets and liabilities using enacted tax rates. A valuation allowance is provided on deferred tax assets if it is determined that it is "more likely than not" that the asset will not be realized. The Company records a valuation allowance against deferred tax assets when it is "more likely than not" that some portion or all of the deferred tax asset will not be realized. The Company reviews the recoverability of deferred tax assets each quarter and based upon projections of future taxable income, reversing deferred tax liabilities or other known events that are expected to affect future taxable income, records a valuation allowance for assets that do not meet the "more likely than not" realization threshold. Valuation allowances may be reversed if related deferred tax assets are deemed realizable based upon changes in facts and circumstances that impact the recoverability of the asset.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a tax position if it is "more likely than not" that it will be sustained upon examination. The tax position is measured at the largest amount that is greater than 50 percent likely of being realized upon ultimate settlement. The Company reports penalties and tax-related interest expense as a component of the benefit (provision) for income taxes. As of December 31, 2015 and 2014, the Company has not recorded any penalties related to its income tax positions.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 Share Information</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Basic net income (loss) attributable to CCIC common stockholders, per common share excludes dilution and is computed by dividing net income (loss) attributable to CCIC common stockholders by the weighted-average number of common shares outstanding during the period. Diluted income (loss) attributable to CCIC common stockholders, per common share is computed by dividing net income (loss) attributable to CCIC common stockholders by the weighted-average number of common shares outstanding during the period plus any potential dilutive common share equivalents, including shares issuable</w:t>
      </w:r>
    </w:p>
    <w:p>
      <w:pPr>
        <w:spacing w:after="0" w:line="2" w:lineRule="exact"/>
        <w:rPr>
          <w:sz w:val="20"/>
          <w:szCs w:val="20"/>
          <w:color w:val="auto"/>
        </w:rPr>
      </w:pPr>
    </w:p>
    <w:p>
      <w:pPr>
        <w:ind w:right="20" w:firstLine="8"/>
        <w:spacing w:after="0" w:line="261" w:lineRule="auto"/>
        <w:tabs>
          <w:tab w:leader="none" w:pos="2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vesting of RSAs and RSUs as determined under the treasury stock method and (2) upon conversion of the Company's Convertible Preferred Stock (as defined in note 12), as determined under the if-converted method.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numerators and denominators of the basic and diluted per share computations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2013</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from continuing operations</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525,286</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346,314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60,001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Dividends on preferred stock</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(43,988)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(11,363)</w:t>
            </w:r>
          </w:p>
        </w:tc>
      </w:tr>
      <w:tr>
        <w:trPr>
          <w:trHeight w:val="3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Net income (loss) from continuing operations attributable to CCIC common stockholders for</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 and diluted computations</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481,298</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302,326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48,638</w:t>
            </w:r>
          </w:p>
        </w:tc>
      </w:tr>
      <w:tr>
        <w:trPr>
          <w:trHeight w:val="284"/>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999,049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33,900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Net income (loss) attributable to the noncontrolling interest</w:t>
            </w:r>
          </w:p>
        </w:tc>
        <w:tc>
          <w:tcPr>
            <w:tcW w:w="9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3,343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8,261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3,790</w:t>
            </w:r>
          </w:p>
        </w:tc>
      </w:tr>
      <w:tr>
        <w:trPr>
          <w:trHeight w:val="3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income (loss) from discontinued operations attributable to CCIC common stockholders for</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 and diluted computations</w:t>
            </w: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995,706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44,199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30,110</w:t>
            </w:r>
          </w:p>
        </w:tc>
      </w:tr>
      <w:tr>
        <w:trPr>
          <w:trHeight w:val="284"/>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number of common shares outstanding (in thousands):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Basic weighted-average number of common stock outstanding</w:t>
            </w:r>
          </w:p>
        </w:tc>
        <w:tc>
          <w:tcPr>
            <w:tcW w:w="9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w w:val="86"/>
              </w:rPr>
              <w:t>333,002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332,302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298,083</w:t>
            </w:r>
          </w:p>
        </w:tc>
      </w:tr>
      <w:tr>
        <w:trPr>
          <w:trHeight w:val="33"/>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assumed dilution from potential common shares relating to RSAs and RSUs</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1,210</w:t>
            </w: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color w:val="auto"/>
              </w:rPr>
              <w:t>Diluted weighted-average number of common shares outstanding</w:t>
            </w:r>
          </w:p>
        </w:tc>
        <w:tc>
          <w:tcPr>
            <w:tcW w:w="9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6"/>
              </w:rPr>
              <w:t>334,062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333,265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299,293</w:t>
            </w:r>
          </w:p>
        </w:tc>
      </w:tr>
      <w:tr>
        <w:trPr>
          <w:trHeight w:val="73"/>
        </w:trPr>
        <w:tc>
          <w:tcPr>
            <w:tcW w:w="64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 (loss) attributable to CCIC common stockholders, per common share:</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74"/>
        </w:trPr>
        <w:tc>
          <w:tcPr>
            <w:tcW w:w="64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Income (loss) from continuing operations, basic</w:t>
            </w: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1.45</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0.16</w:t>
            </w:r>
          </w:p>
        </w:tc>
      </w:tr>
      <w:tr>
        <w:trPr>
          <w:trHeight w:val="33"/>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 basic</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0.10</w:t>
            </w: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color w:val="auto"/>
              </w:rPr>
              <w:t>Net income (loss) attributable to CCIC common stockholders, basic</w:t>
            </w:r>
          </w:p>
        </w:tc>
        <w:tc>
          <w:tcPr>
            <w:tcW w:w="980" w:type="dxa"/>
            <w:vAlign w:val="bottom"/>
            <w:tcBorders>
              <w:top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0.26</w:t>
            </w:r>
          </w:p>
        </w:tc>
      </w:tr>
      <w:tr>
        <w:trPr>
          <w:trHeight w:val="73"/>
        </w:trPr>
        <w:tc>
          <w:tcPr>
            <w:tcW w:w="64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7"/>
        </w:trPr>
        <w:tc>
          <w:tcPr>
            <w:tcW w:w="640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Income (loss) from continuing operations, diluted</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0.16</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 diluted</w:t>
            </w: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2.98</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0.10</w:t>
            </w:r>
          </w:p>
        </w:tc>
      </w:tr>
      <w:tr>
        <w:trPr>
          <w:trHeight w:val="3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attributable to CCIC common stockholders, diluted</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years ended December 31, 2015 and 2014, 11.4 million and 12.5 million common share equivalents related to the Convertible Preferred Stock, respectively, were excluded from the dilutive common shares because the impact of such conversion would be anti-dilutive, based on the Company's common stock price as of the end of each such year. See notes 12 and 13.</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fair value of cash and cash equivalents and restricted cash approximate the carrying value. The Company determines the fair value of its debt securities based on indicative quotes (that is non-binding quotes) from brokers that require judgment to interpret market information including implied credit spreads for similar borrowings on recent trades or bid/ask prices or quotes from active markets if applicable. Foreign currency swaps are valued at settlement amounts using observable exchange rates and, if material, reflect an adjustment for the Company's and contract counterparty's credit risk. There were no changes since December 31, 2014 in the Company's valuation techniques used to measure fair values. See note 10 for a further discussion of fair values.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Swaps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Interest Rate Swaps. </w:t>
      </w:r>
      <w:r>
        <w:rPr>
          <w:rFonts w:ascii="Arial" w:cs="Arial" w:eastAsia="Arial" w:hAnsi="Arial"/>
          <w:sz w:val="17"/>
          <w:szCs w:val="17"/>
          <w:color w:val="auto"/>
        </w:rPr>
        <w:t>The Company had previously entered into interest rate swaps to manage or reduce its interest rate risk. Derivative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were entered into for periods that matched the related underlying exposures. The Company can designate derivative financial instruments as hedges. The Company can also enter into derivative financial instruments that are not designated as accounting hedges.</w:t>
      </w:r>
    </w:p>
    <w:p>
      <w:pPr>
        <w:spacing w:after="0" w:line="11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Derivatives were recognized on the consolidated balance sheet at fair value. If the derivative was designated as a cash flow hedge, the effective portion of the change in the fair value of the derivative was recorded as a separate component of stockholders' equity, captioned "accumulated other comprehensive income (loss)" on the Company's consolidated balance sheet, and recognized as increases or decreases to "interest expense and amortization of deferred financing costs" on the Company's consolidated statement of operations and comprehensive income (loss) when the hedged item affects earnings. If a hedge ceased to qualify for hedge accounting, any change in the fair value of the derivative since the date it ceased to qualify was recorded to "net gain (loss) on interest rate swaps." However, any amounts previously recorded to "accumulated other comprehensive income (loss)" would remain there until the original forecasted transaction affected earnings. In situations where it becomes probable that the hedged forecasted transaction will not occur, any gains or losses that have been recorded to "accumulated other comprehensive income (loss)" are immediately reclassified to earnings. See note 9.</w:t>
      </w:r>
    </w:p>
    <w:p>
      <w:pPr>
        <w:spacing w:after="0" w:line="11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Foreign Currency Swaps. </w:t>
      </w:r>
      <w:r>
        <w:rPr>
          <w:rFonts w:ascii="Arial" w:cs="Arial" w:eastAsia="Arial" w:hAnsi="Arial"/>
          <w:sz w:val="17"/>
          <w:szCs w:val="17"/>
          <w:color w:val="auto"/>
        </w:rPr>
        <w:t>During 2015, the Company entered into foreign currency swaps to manage and reduce its foreign currency risk related to its</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CCAL (see note 3). The derivatives were recognized on the consolidated balance sheet at fair value as of December 31, 2015. These swaps are not designated as accounting hedges and as such, the corresponding gain (loss) on the fair value adjustment is included as a component of "other income (expense)" on the Company's consolidated statement of operations and comprehensive income (loss). See note 9. In January 2016, the previously outstanding swap related to the installment payment received from the Buyer (as defined in note 3) was cash settled.</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April 2014, the Financial Accounting Standards Board ("FASB") issued new guidance on the implementation and presentation of discontinued operations titled ASU 2014-08, </w:t>
      </w:r>
      <w:r>
        <w:rPr>
          <w:rFonts w:ascii="Arial" w:cs="Arial" w:eastAsia="Arial" w:hAnsi="Arial"/>
          <w:sz w:val="16"/>
          <w:szCs w:val="16"/>
          <w:i w:val="1"/>
          <w:iCs w:val="1"/>
          <w:color w:val="auto"/>
        </w:rPr>
        <w:t>Reporting Discontinued Operations and Disclosures of Disposals of Components of an Entity</w:t>
      </w:r>
      <w:r>
        <w:rPr>
          <w:rFonts w:ascii="Arial" w:cs="Arial" w:eastAsia="Arial" w:hAnsi="Arial"/>
          <w:sz w:val="16"/>
          <w:szCs w:val="16"/>
          <w:color w:val="auto"/>
        </w:rPr>
        <w:t xml:space="preserve"> ("ASU 2014-08"). The guidance requires that only disposals that represent a strategic shift that has (or will have) a major effect on the entity's results and operations qualify as discontinued operations. In addition, the new guidance expands the disclosure requirements for disposals that meet the definition of a discontinued operation and requires entities to disclose information about disposals of individually significant components that do not meet the definition of discontinued operations. The new guidance was effective for the Company on January 1, 2015, and the Company has applied the new guidance to the sale of CCAL. See note 3.</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November 2015, the FASB issued new guidance on the presentation of deferred tax assets and liabilities. The guidance requires deferred tax assets and liabilities to be presented as non-current on the balance sheet. The guidance is effective for the Company on January 1, 2017 and early adoption is permitted. The Company adopted this guidance on December 31, 2015 on a prospective basis. As such, the prior periods presented within the Company's consolidated financial statements were not retrospectively adjusted. See note 11.</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2015, the FASB issued new guidance on the presentation of debt issuance costs. The guidance requires debt issuance costs to be presented in the balance sheet as a direct deduction from the carrying amount of the related debt liability, consistent with debt discounts and premiums. The update requires retrospective application and the guidance is effective for the Company on January 1, 2016. The Company will adopt the guidance on January 1, 2016. As of December 31, 2015, net deferred financing costs were $107.7 million and were recorded as a component of "long-term prepaid rent, deferred financing costs and other assets, net" on the Company's consolidated balance sheet.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the FASB released updated guidance regarding the recognition of revenue from contracts with customers, exclusive of those contracts within lease accounting.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is effective for the Company on January 1, 2018, following the FASB's July 2015 decision to defer the effective date of the standard by one year. This guidance is required to be applied, at the Company's election, either (1) retrospectively to each prior reporting period presented, or (2) with the cumulative effect being recognized at the date of initial application. The Company is evaluating the guidance, including the impact on its consolidated financial statements.</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September 2015, the FASB issued new guidance which requires an acquirer to recognize adjustments to provisional amounts that are identified during the measurement period in the reporting period in which the adjustment amounts are determined. The update requires prospective application and the guidance is effective for the Company on January 1, 2016, with early adoption permitted. The Company does not expect the standard to have a material impact to its consolidated financial statements upon initial adoption.</w:t>
      </w:r>
    </w:p>
    <w:p>
      <w:pPr>
        <w:spacing w:after="0" w:line="345"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May 14, 2015, the Company entered into a definitive agreement to sell CCAL to a consortium of investors led by Macquarie Infrastructure and Real Assets (collectively, "Buyer"). On May 28, 2015, the Company completed the sale. At closing, the Company received net proceeds of approximately $1.1 billion after accounting for the Company's 77.6% ownership interest, repayment of intercompany debt owed to the Company by CCAL and estimated transaction fees and expenses, exclusive of the impact of foreign currency swaps related to the CCAL sale (see note 9).</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part of the sale of CCAL, in January 2016, the Company received an installment payment from the Buyer totaling approximately $124 million, inclusive of the impact of the related foreign currency swap (see note 9). The installment payment is included within "other current assets" on the Company's consolidated balance sheet.</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second quarter 2015, the Company used net proceeds from the sale of CCAL to repay portions of outstanding borrowings under its previously outstanding 2012 Credit Facility. See note 8.</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entered into foreign currency swaps to manage and reduce its foreign currency risk associated with the sale of CCAL. These swaps are not included in discontinued operations. See note 9.</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CCAL has historically been a separate operating segment of the Company (see note 16). The sale of the Company's CCAL operating segment is treated as discontinued operations for all periods presented pursuant to ASU 2014-08, which the Company adopted on January 1, 2015 (see note 2). The sale of CCAL represents a strategic shift of the Company to focus on U.S. operations. The gain from disposal of CCAL is included in discontinued operations on the consolidated statement of operations. The tables below set forth the assets and liabilities related to discontinued operations at December 31, 2014, and their results of operations for the years ended December 31, 2015, 2014 and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amounts)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Assets and liabilities related to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and equipment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assets related to discontinued operations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Non-current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liabilities related to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As of December 31, 2014</w:t>
            </w:r>
          </w:p>
        </w:tc>
        <w:tc>
          <w:tcPr>
            <w:tcW w:w="760" w:type="dxa"/>
            <w:vAlign w:val="bottom"/>
            <w:tcBorders>
              <w:bottom w:val="single" w:sz="8" w:color="auto"/>
            </w:tcBorders>
          </w:tcPr>
          <w:p>
            <w:pPr>
              <w:spacing w:after="0"/>
              <w:rPr>
                <w:sz w:val="16"/>
                <w:szCs w:val="16"/>
                <w:color w:val="auto"/>
              </w:rPr>
            </w:pPr>
          </w:p>
        </w:tc>
      </w:tr>
      <w:tr>
        <w:trPr>
          <w:trHeight w:val="507"/>
        </w:trPr>
        <w:tc>
          <w:tcPr>
            <w:tcW w:w="82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61,289</w:t>
            </w:r>
          </w:p>
        </w:tc>
      </w:tr>
      <w:tr>
        <w:trPr>
          <w:trHeight w:val="270"/>
        </w:trPr>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165,528</w:t>
            </w:r>
          </w:p>
        </w:tc>
      </w:tr>
      <w:tr>
        <w:trPr>
          <w:trHeight w:val="270"/>
        </w:trPr>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185,966</w:t>
            </w:r>
          </w:p>
        </w:tc>
      </w:tr>
      <w:tr>
        <w:trPr>
          <w:trHeight w:val="33"/>
        </w:trPr>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412,783</w:t>
            </w:r>
          </w:p>
        </w:tc>
      </w:tr>
      <w:tr>
        <w:trPr>
          <w:trHeight w:val="270"/>
        </w:trPr>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94,297</w:t>
            </w:r>
          </w:p>
        </w:tc>
      </w:tr>
      <w:tr>
        <w:trPr>
          <w:trHeight w:val="270"/>
        </w:trPr>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33,196</w:t>
            </w:r>
          </w:p>
        </w:tc>
      </w:tr>
      <w:tr>
        <w:trPr>
          <w:trHeight w:val="33"/>
        </w:trPr>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127,493</w:t>
            </w:r>
          </w:p>
        </w:tc>
      </w:tr>
      <w:tr>
        <w:trPr>
          <w:trHeight w:val="534"/>
        </w:trPr>
        <w:tc>
          <w:tcPr>
            <w:tcW w:w="820" w:type="dxa"/>
            <w:vAlign w:val="bottom"/>
          </w:tcPr>
          <w:p>
            <w:pPr>
              <w:spacing w:after="0"/>
              <w:rPr>
                <w:sz w:val="24"/>
                <w:szCs w:val="24"/>
                <w:color w:val="auto"/>
              </w:rPr>
            </w:pPr>
          </w:p>
        </w:tc>
        <w:tc>
          <w:tcPr>
            <w:tcW w:w="1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Pr>
          <w:p>
            <w:pPr>
              <w:spacing w:after="0"/>
              <w:rPr>
                <w:sz w:val="24"/>
                <w:szCs w:val="24"/>
                <w:color w:val="auto"/>
              </w:rPr>
            </w:pPr>
          </w:p>
        </w:tc>
      </w:tr>
      <w:tr>
        <w:trPr>
          <w:trHeight w:val="53"/>
        </w:trPr>
        <w:tc>
          <w:tcPr>
            <w:tcW w:w="8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58"/>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(b)(c)</w:t>
            </w:r>
          </w:p>
        </w:tc>
        <w:tc>
          <w:tcPr>
            <w:tcW w:w="13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6"/>
              </w:rPr>
              <w:t>2014</w:t>
            </w:r>
            <w:r>
              <w:rPr>
                <w:rFonts w:ascii="Arial" w:cs="Arial" w:eastAsia="Arial" w:hAnsi="Arial"/>
                <w:sz w:val="8"/>
                <w:szCs w:val="8"/>
                <w:b w:val="1"/>
                <w:bCs w:val="1"/>
                <w:color w:val="auto"/>
                <w:w w:val="96"/>
              </w:rPr>
              <w:t>(b)</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8"/>
                <w:szCs w:val="8"/>
                <w:b w:val="1"/>
                <w:bCs w:val="1"/>
                <w:color w:val="auto"/>
              </w:rPr>
              <w:t>(b)</w:t>
            </w:r>
          </w:p>
        </w:tc>
      </w:tr>
    </w:tbl>
    <w:p>
      <w:pPr>
        <w:spacing w:after="0" w:line="31" w:lineRule="exact"/>
        <w:rPr>
          <w:sz w:val="20"/>
          <w:szCs w:val="20"/>
          <w:color w:val="auto"/>
        </w:rPr>
      </w:pPr>
    </w:p>
    <w:p>
      <w:pPr>
        <w:sectPr>
          <w:pgSz w:w="11900" w:h="16838" w:orient="portrait"/>
          <w:cols w:equalWidth="0" w:num="2">
            <w:col w:w="7400" w:space="720"/>
            <w:col w:w="33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65,293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151,128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156,633</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Total cost of operations </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17,498</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43,860</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55,779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10,168</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27,283</w:t>
            </w:r>
          </w:p>
        </w:tc>
        <w:tc>
          <w:tcPr>
            <w:tcW w:w="3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32,873</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expenses</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10,481</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26,921</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26,453</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color w:val="auto"/>
              </w:rPr>
              <w:t>Pre-tax income from discontinued operations</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27,146</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53,064</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41,528</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from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(7,456)</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(7,628)</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color w:val="auto"/>
              </w:rPr>
              <w:t>Net income (loss) from discontinued operations</w:t>
            </w:r>
            <w:r>
              <w:rPr>
                <w:rFonts w:ascii="Arial" w:cs="Arial" w:eastAsia="Arial" w:hAnsi="Arial"/>
                <w:sz w:val="21"/>
                <w:szCs w:val="21"/>
                <w:color w:val="auto"/>
                <w:vertAlign w:val="superscript"/>
              </w:rPr>
              <w:t>(d)</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19,690</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52,460</w:t>
            </w:r>
          </w:p>
        </w:tc>
        <w:tc>
          <w:tcPr>
            <w:tcW w:w="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33,900</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120015</wp:posOffset>
            </wp:positionV>
            <wp:extent cx="91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 interest expense has been allocated to discontinued operations.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CCAL results are through May 28, 2015, which was the closing date of the Company's sale of CCAL.</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Exclusive of the gain (loss) from disposal of discontinued operations, net of tax, as presented on the consolidated statement of operations.</w:t>
      </w:r>
    </w:p>
    <w:p>
      <w:pPr>
        <w:sectPr>
          <w:pgSz w:w="11900" w:h="16838" w:orient="portrait"/>
          <w:cols w:equalWidth="0" w:num="1">
            <w:col w:w="11420"/>
          </w:cols>
          <w:pgMar w:left="240" w:top="121" w:right="239" w:bottom="1440" w:gutter="0" w:footer="0" w:header="0"/>
          <w:type w:val="continuous"/>
        </w:sectPr>
      </w:pPr>
    </w:p>
    <w:p>
      <w:pPr>
        <w:spacing w:after="0" w:line="1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recorded a gain on the sale of CCAL, which was comprised of the following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received from sale of CCAL</w:t>
      </w:r>
      <w:r>
        <w:rPr>
          <w:rFonts w:ascii="Arial" w:cs="Arial" w:eastAsia="Arial" w:hAnsi="Arial"/>
          <w:sz w:val="21"/>
          <w:szCs w:val="21"/>
          <w:color w:val="auto"/>
          <w:vertAlign w:val="superscript"/>
        </w:rPr>
        <w:t>(a)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Installment payment receivable due January 2016</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proceeds from sale of CCAL</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assets and liabilities related to discontinued operations</w:t>
      </w:r>
      <w:r>
        <w:rPr>
          <w:rFonts w:ascii="Arial" w:cs="Arial" w:eastAsia="Arial" w:hAnsi="Arial"/>
          <w:sz w:val="21"/>
          <w:szCs w:val="21"/>
          <w:color w:val="auto"/>
          <w:vertAlign w:val="superscript"/>
        </w:rPr>
        <w:t>(b)(c)</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Transaction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reclassification adjustments</w:t>
      </w:r>
      <w:r>
        <w:rPr>
          <w:rFonts w:ascii="Arial" w:cs="Arial" w:eastAsia="Arial" w:hAnsi="Arial"/>
          <w:sz w:val="21"/>
          <w:szCs w:val="21"/>
          <w:color w:val="auto"/>
          <w:vertAlign w:val="superscript"/>
        </w:rPr>
        <w:t>(d)</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Pre-tax gain (loss) from disposal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related to the sale of CCAL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from disposal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172720</wp:posOffset>
            </wp:positionV>
            <wp:extent cx="914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1,139,369</w:t>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117,384</w:t>
      </w:r>
    </w:p>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1,256,753</w:t>
      </w:r>
    </w:p>
    <w:p>
      <w:pPr>
        <w:spacing w:after="0" w:line="35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258,575</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23,059</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(25,678)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1,000,797</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979,359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52070</wp:posOffset>
            </wp:positionV>
            <wp:extent cx="13722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121" w:right="239" w:bottom="1440" w:gutter="0" w:footer="0" w:header="0"/>
          <w:type w:val="continuous"/>
        </w:sectPr>
      </w:pPr>
    </w:p>
    <w:p>
      <w:pPr>
        <w:spacing w:after="0" w:line="80" w:lineRule="exact"/>
        <w:rPr>
          <w:sz w:val="20"/>
          <w:szCs w:val="20"/>
          <w:color w:val="auto"/>
        </w:rPr>
      </w:pPr>
    </w:p>
    <w:p>
      <w:pPr>
        <w:ind w:left="340" w:hanging="332"/>
        <w:spacing w:after="0" w:line="269"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Exclusive of foreign currency swaps and based on exchange rates as of May 28, 2015, which was the closing date of the Company's sale of CCAL. See note 9. The impact of fluctuations in the exchange rate subsequent to the closing date are reflected as a component of "other income (expense)" on the Company's consolidated statement of operations.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net assets attributable to CCIC, net of the disposition of noncontrolling interest of $23.5 million.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Inclusive of $11.1 million of cash.</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foreign currency translation adjustments previously included in "accumulated other comprehensive income (loss)" on the consolidated balance sheet and reclassified to "net gain (loss) from disposal of discontinued operations, net of tax" on the consolidated statement of operations and comprehensive income (loss).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34"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2013 AT&amp;T Acquisition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October 2013, the Company entered into a definitive agreement with AT&amp;T, to acquire rights to towers which, as of December 31, 2015, comprised approximately 23% of the Company's towers for $4.827 billion in cash at closing ("AT&amp;T Acquisition"). On December 16, 2013, the Company closed on the acquisition. See note 1 for further discussion of the terms of the AT&amp;T master prepaid lease, including the related purchase option. The Company utilized net proceeds from the October 2013 Equity Financings (as defined in note 12), and additional borrowings under the 2012 Revolver (as defined in note 8) and term loans to fund the AT&amp;T Acquisition, as well as cash on hand. The final purchase price allocation for the AT&amp;T Acquisition is shown below.</w:t>
      </w:r>
    </w:p>
    <w:p>
      <w:pPr>
        <w:spacing w:after="0" w:line="261" w:lineRule="exact"/>
        <w:rPr>
          <w:sz w:val="20"/>
          <w:szCs w:val="20"/>
          <w:color w:val="auto"/>
        </w:rPr>
      </w:pPr>
    </w:p>
    <w:p>
      <w:pPr>
        <w:ind w:left="1120"/>
        <w:spacing w:after="0"/>
        <w:rPr>
          <w:sz w:val="20"/>
          <w:szCs w:val="20"/>
          <w:color w:val="auto"/>
        </w:rPr>
      </w:pPr>
      <w:r>
        <w:rPr>
          <w:rFonts w:ascii="Arial" w:cs="Arial" w:eastAsia="Arial" w:hAnsi="Arial"/>
          <w:sz w:val="16"/>
          <w:szCs w:val="16"/>
          <w:b w:val="1"/>
          <w:bCs w:val="1"/>
          <w:u w:val="single" w:color="auto"/>
          <w:color w:val="auto"/>
        </w:rPr>
        <w:t>Final Purchase Price Allocation</w:t>
      </w:r>
    </w:p>
    <w:p>
      <w:pPr>
        <w:spacing w:after="0" w:line="59"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21,543</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340" w:type="dxa"/>
            <w:vAlign w:val="bottom"/>
            <w:gridSpan w:val="3"/>
          </w:tcPr>
          <w:p>
            <w:pPr>
              <w:ind w:left="40"/>
              <w:spacing w:after="0"/>
              <w:rPr>
                <w:sz w:val="20"/>
                <w:szCs w:val="20"/>
                <w:color w:val="auto"/>
              </w:rPr>
            </w:pPr>
            <w:r>
              <w:rPr>
                <w:rFonts w:ascii="Arial" w:cs="Arial" w:eastAsia="Arial" w:hAnsi="Arial"/>
                <w:sz w:val="16"/>
                <w:szCs w:val="16"/>
                <w:color w:val="auto"/>
              </w:rPr>
              <w:t>Property and equipment</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1,891,721</w:t>
            </w:r>
          </w:p>
        </w:tc>
        <w:tc>
          <w:tcPr>
            <w:tcW w:w="36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1,902,777</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34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1,175,217</w:t>
            </w:r>
          </w:p>
        </w:tc>
        <w:tc>
          <w:tcPr>
            <w:tcW w:w="36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67,063</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340" w:type="dxa"/>
            <w:vAlign w:val="bottom"/>
            <w:gridSpan w:val="3"/>
          </w:tcPr>
          <w:p>
            <w:pPr>
              <w:ind w:left="4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(10,677)</w:t>
            </w:r>
          </w:p>
        </w:tc>
        <w:tc>
          <w:tcPr>
            <w:tcW w:w="36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r>
      <w:tr>
        <w:trPr>
          <w:trHeight w:val="257"/>
        </w:trPr>
        <w:tc>
          <w:tcPr>
            <w:tcW w:w="7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4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 xml:space="preserve">(221,045) </w:t>
            </w:r>
            <w:r>
              <w:rPr>
                <w:rFonts w:ascii="Arial" w:cs="Arial" w:eastAsia="Arial" w:hAnsi="Arial"/>
                <w:sz w:val="21"/>
                <w:szCs w:val="21"/>
                <w:color w:val="auto"/>
                <w:vertAlign w:val="superscript"/>
              </w:rPr>
              <w:t>(a)</w:t>
            </w:r>
          </w:p>
        </w:tc>
      </w:tr>
      <w:tr>
        <w:trPr>
          <w:trHeight w:val="244"/>
        </w:trPr>
        <w:tc>
          <w:tcPr>
            <w:tcW w:w="7340" w:type="dxa"/>
            <w:vAlign w:val="bottom"/>
            <w:gridSpan w:val="3"/>
          </w:tcPr>
          <w:p>
            <w:pPr>
              <w:ind w:left="40"/>
              <w:spacing w:after="0"/>
              <w:rPr>
                <w:sz w:val="20"/>
                <w:szCs w:val="20"/>
                <w:color w:val="auto"/>
              </w:rPr>
            </w:pPr>
            <w:r>
              <w:rPr>
                <w:rFonts w:ascii="Arial" w:cs="Arial" w:eastAsia="Arial" w:hAnsi="Arial"/>
                <w:sz w:val="16"/>
                <w:szCs w:val="16"/>
                <w:color w:val="auto"/>
              </w:rPr>
              <w:t>Net assets acquired</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4,826,599</w:t>
            </w:r>
          </w:p>
        </w:tc>
        <w:tc>
          <w:tcPr>
            <w:tcW w:w="360" w:type="dxa"/>
            <w:vAlign w:val="bottom"/>
          </w:tcPr>
          <w:p>
            <w:pPr>
              <w:jc w:val="right"/>
              <w:ind w:right="146"/>
              <w:spacing w:after="0"/>
              <w:rPr>
                <w:sz w:val="20"/>
                <w:szCs w:val="20"/>
                <w:color w:val="auto"/>
              </w:rPr>
            </w:pPr>
            <w:r>
              <w:rPr>
                <w:rFonts w:ascii="Arial" w:cs="Arial" w:eastAsia="Arial" w:hAnsi="Arial"/>
                <w:sz w:val="11"/>
                <w:szCs w:val="11"/>
                <w:color w:val="auto"/>
              </w:rPr>
              <w:t>(b)</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22"/>
        </w:trPr>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r>
    </w:tbl>
    <w:p>
      <w:pPr>
        <w:spacing w:after="0" w:line="38"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4"/>
          <w:szCs w:val="14"/>
          <w:color w:val="auto"/>
        </w:rPr>
        <w:t>Inclusive of above-market leases for land interests under the Company's towers.</w:t>
      </w:r>
    </w:p>
    <w:p>
      <w:pPr>
        <w:spacing w:after="0" w:line="74"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No deferred taxes were recorded as a result of the Company's REIT election. See note 11.</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unaudited pro forma financial results for the year ended December 31, 2013 combine the historical results of the Company, along with the pro forma impact from the AT&amp;T Acquisition. The following table presents the unaudited pro forma consolidated results of operations of the Company as if the AT&amp;T Acquisition was completed as of January 1, 2013. The unaudited pro forma amounts are presented for illustrative purposes only and are not necessarily indicative of future consolidated results of operations.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Twelve Months Ended</w:t>
            </w:r>
          </w:p>
        </w:tc>
        <w:tc>
          <w:tcPr>
            <w:tcW w:w="440" w:type="dxa"/>
            <w:vAlign w:val="bottom"/>
          </w:tcPr>
          <w:p>
            <w:pPr>
              <w:spacing w:after="0"/>
              <w:rPr>
                <w:sz w:val="14"/>
                <w:szCs w:val="14"/>
                <w:color w:val="auto"/>
              </w:rPr>
            </w:pPr>
          </w:p>
        </w:tc>
      </w:t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6"/>
                <w:szCs w:val="16"/>
                <w:color w:val="auto"/>
              </w:rPr>
            </w:pPr>
          </w:p>
        </w:tc>
      </w:tr>
      <w:tr>
        <w:trPr>
          <w:trHeight w:val="250"/>
        </w:trPr>
        <w:tc>
          <w:tcPr>
            <w:tcW w:w="9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CCEEFF"/>
            </w:tcBorders>
          </w:tcPr>
          <w:p>
            <w:pPr>
              <w:spacing w:after="0"/>
              <w:rPr>
                <w:sz w:val="21"/>
                <w:szCs w:val="21"/>
                <w:color w:val="auto"/>
              </w:rPr>
            </w:pP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3,420,736</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color w:val="auto"/>
              </w:rPr>
              <w:t>242,617</w:t>
            </w:r>
          </w:p>
        </w:tc>
        <w:tc>
          <w:tcPr>
            <w:tcW w:w="440" w:type="dxa"/>
            <w:vAlign w:val="bottom"/>
          </w:tcPr>
          <w:p>
            <w:pPr>
              <w:ind w:left="20"/>
              <w:spacing w:after="0"/>
              <w:rPr>
                <w:sz w:val="20"/>
                <w:szCs w:val="20"/>
                <w:color w:val="auto"/>
              </w:rPr>
            </w:pPr>
            <w:r>
              <w:rPr>
                <w:rFonts w:ascii="Arial" w:cs="Arial" w:eastAsia="Arial" w:hAnsi="Arial"/>
                <w:sz w:val="11"/>
                <w:szCs w:val="11"/>
                <w:color w:val="auto"/>
              </w:rPr>
              <w:t>(b)(c)</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(178,663)</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(c)(d)</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color w:val="auto"/>
              </w:rPr>
              <w:t>63,954</w:t>
            </w:r>
          </w:p>
        </w:tc>
        <w:tc>
          <w:tcPr>
            <w:tcW w:w="440" w:type="dxa"/>
            <w:vAlign w:val="bottom"/>
          </w:tcPr>
          <w:p>
            <w:pPr>
              <w:ind w:left="20"/>
              <w:spacing w:after="0"/>
              <w:rPr>
                <w:sz w:val="20"/>
                <w:szCs w:val="20"/>
                <w:color w:val="auto"/>
              </w:rPr>
            </w:pPr>
            <w:r>
              <w:rPr>
                <w:rFonts w:ascii="Arial" w:cs="Arial" w:eastAsia="Arial" w:hAnsi="Arial"/>
                <w:sz w:val="11"/>
                <w:szCs w:val="11"/>
                <w:color w:val="auto"/>
              </w:rPr>
              <w:t>(b)(c)</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(loss) attributable to CCIC common stockholders,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0.05</w:t>
            </w:r>
          </w:p>
        </w:tc>
        <w:tc>
          <w:tcPr>
            <w:tcW w:w="440" w:type="dxa"/>
            <w:vAlign w:val="bottom"/>
            <w:tcBorders>
              <w:bottom w:val="single" w:sz="8" w:color="CCEEFF"/>
            </w:tcBorders>
            <w:shd w:val="clear" w:color="auto" w:fill="CCEEFF"/>
          </w:tcPr>
          <w:p>
            <w:pPr>
              <w:spacing w:after="0"/>
              <w:rPr>
                <w:sz w:val="20"/>
                <w:szCs w:val="20"/>
                <w:color w:val="auto"/>
              </w:rPr>
            </w:pP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Diluted net income (loss) attributable to CCIC common stockholders, per common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color w:val="auto"/>
              </w:rPr>
              <w:t>0.05</w:t>
            </w:r>
          </w:p>
        </w:tc>
        <w:tc>
          <w:tcPr>
            <w:tcW w:w="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132715</wp:posOffset>
            </wp:positionV>
            <wp:extent cx="1143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10" w:lineRule="exact"/>
        <w:rPr>
          <w:sz w:val="20"/>
          <w:szCs w:val="20"/>
          <w:color w:val="auto"/>
        </w:rPr>
      </w:pPr>
    </w:p>
    <w:p>
      <w:pPr>
        <w:ind w:left="340" w:hanging="332"/>
        <w:spacing w:after="0" w:line="250"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 is inclusive of pro forma adjustments to increase net revenues of $211.1 million related to net revenues that the Company expects to recognize from AT&amp;T under AT&amp;T's contracted lease of space on the towers acquired in the AT&amp;T Acquisition.</w:t>
      </w:r>
    </w:p>
    <w:p>
      <w:pPr>
        <w:ind w:left="340" w:hanging="332"/>
        <w:spacing w:after="0" w:line="24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are inclusive of pro forma adjustments to increase depreciation and amortization of $218.3 million related to property and equipment and intangibles recorded as a result of the AT&amp;T Acquisition.</w:t>
      </w: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include the impact of the interest expense associated with the related debt financings as well as the October 2013 Equity Financings.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 forma adjustments reflect the federal statutory rate and an estimated state rate. No adjustment was made related to the Company's REIT election. See note 11.</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the AT&amp;T Acquisition see notes 6, 8, and 12.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2014 Land Acquisitions</w:t>
      </w:r>
    </w:p>
    <w:p>
      <w:pPr>
        <w:spacing w:after="0" w:line="25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During 2014, the Company completed several acquisitions of portfolios of land interests under towers ("2014 Land Acquisitions"). These acquisitions were predominately comprised of an aggregate of 1,200 land interests for an aggregate purchase price of approximately $354 million, net of cash acquired.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2015 Sunesys Acquisition</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April 2015, the Company entered into a definitive agreement to acquire Quanta Fiber Networks, Inc. ("Sunesys") for approximately $1.0 billion in cash, subject to certain limited adjustments ("Sunesys Acquisition"). On August 4, 2015, the Company closed the Sunesys Acquisition. The results of operations from Sunesys have been included in the Company's consolidated statement of operations since the date of acquisition.</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Prior to the closing, Sunesys was a wholly owned subsidiary of Quanta Services, Inc. and a fiber services provider that owned or had rights to nearly 10,000 miles of fiber in major metropolitan markets across the U.S., including Los Angeles, Philadelphia, Chicago, Atlanta, Silicon Valley, and northern New Jersey. Approximately 60% of Sunesys' fiber miles were located in the top 10 basic trading areas.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utilized borrowings under the 2012 Revolver and cash on hand to fund the cash consideration of approximately $1.0 billion. See note 8.</w:t>
      </w:r>
    </w:p>
    <w:p>
      <w:pPr>
        <w:spacing w:after="0" w:line="1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preliminary purchase price allocation for the Sunesys Acquisition is shown below. The preliminary purchase price allocation is based upon a preliminary valuation which is subject to change as the Company obtains additional information, with respect to fixed assets, intangible assets and certain liabilities.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gridSpan w:val="3"/>
          </w:tcPr>
          <w:p>
            <w:pPr>
              <w:ind w:left="40"/>
              <w:spacing w:after="0"/>
              <w:rPr>
                <w:sz w:val="20"/>
                <w:szCs w:val="20"/>
                <w:color w:val="auto"/>
              </w:rPr>
            </w:pPr>
            <w:r>
              <w:rPr>
                <w:rFonts w:ascii="Arial" w:cs="Arial" w:eastAsia="Arial" w:hAnsi="Arial"/>
                <w:sz w:val="16"/>
                <w:szCs w:val="16"/>
                <w:b w:val="1"/>
                <w:bCs w:val="1"/>
                <w:color w:val="auto"/>
              </w:rPr>
              <w:t>Preliminary Purchase Price Allocation</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266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7"/>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15,417</w:t>
            </w:r>
          </w:p>
        </w:tc>
      </w:tr>
      <w:tr>
        <w:trPr>
          <w:trHeight w:val="224"/>
        </w:trPr>
        <w:tc>
          <w:tcPr>
            <w:tcW w:w="9600" w:type="dxa"/>
            <w:vAlign w:val="bottom"/>
            <w:gridSpan w:val="3"/>
          </w:tcPr>
          <w:p>
            <w:pPr>
              <w:ind w:left="40"/>
              <w:spacing w:after="0"/>
              <w:rPr>
                <w:sz w:val="20"/>
                <w:szCs w:val="20"/>
                <w:color w:val="auto"/>
              </w:rPr>
            </w:pPr>
            <w:r>
              <w:rPr>
                <w:rFonts w:ascii="Arial" w:cs="Arial" w:eastAsia="Arial" w:hAnsi="Arial"/>
                <w:sz w:val="16"/>
                <w:szCs w:val="16"/>
                <w:color w:val="auto"/>
              </w:rPr>
              <w:t>Property and equipment</w:t>
            </w:r>
          </w:p>
        </w:tc>
        <w:tc>
          <w:tcPr>
            <w:tcW w:w="6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444,864</w:t>
            </w:r>
          </w:p>
        </w:tc>
      </w:tr>
      <w:tr>
        <w:trPr>
          <w:trHeight w:val="33"/>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9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6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325,696</w:t>
            </w:r>
          </w:p>
        </w:tc>
      </w:tr>
      <w:tr>
        <w:trPr>
          <w:trHeight w:val="224"/>
        </w:trPr>
        <w:tc>
          <w:tcPr>
            <w:tcW w:w="960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p>
        </w:tc>
        <w:tc>
          <w:tcPr>
            <w:tcW w:w="6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259,833</w:t>
            </w:r>
          </w:p>
        </w:tc>
      </w:tr>
      <w:tr>
        <w:trPr>
          <w:trHeight w:val="33"/>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6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(20,470)</w:t>
            </w:r>
          </w:p>
        </w:tc>
      </w:tr>
      <w:tr>
        <w:trPr>
          <w:trHeight w:val="224"/>
        </w:trPr>
        <w:tc>
          <w:tcPr>
            <w:tcW w:w="9600" w:type="dxa"/>
            <w:vAlign w:val="bottom"/>
            <w:gridSpan w:val="3"/>
          </w:tcPr>
          <w:p>
            <w:pPr>
              <w:ind w:left="40"/>
              <w:spacing w:after="0"/>
              <w:rPr>
                <w:sz w:val="20"/>
                <w:szCs w:val="20"/>
                <w:color w:val="auto"/>
              </w:rPr>
            </w:pPr>
            <w:r>
              <w:rPr>
                <w:rFonts w:ascii="Arial" w:cs="Arial" w:eastAsia="Arial" w:hAnsi="Arial"/>
                <w:sz w:val="16"/>
                <w:szCs w:val="16"/>
                <w:color w:val="auto"/>
              </w:rPr>
              <w:t>Other non-current liabilities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(37,375)</w:t>
            </w:r>
          </w:p>
        </w:tc>
      </w:tr>
      <w:tr>
        <w:trPr>
          <w:trHeight w:val="33"/>
        </w:trPr>
        <w:tc>
          <w:tcPr>
            <w:tcW w:w="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Net assets acquired </w:t>
            </w:r>
            <w:r>
              <w:rPr>
                <w:rFonts w:ascii="Arial" w:cs="Arial" w:eastAsia="Arial" w:hAnsi="Arial"/>
                <w:sz w:val="21"/>
                <w:szCs w:val="21"/>
                <w:color w:val="auto"/>
                <w:vertAlign w:val="superscript"/>
              </w:rPr>
              <w:t>(b)</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987,965</w:t>
            </w: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47"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preliminary purchase price allocation for the Sunesys Acquisition resulted in the recognition of goodwill based on the Company's expectation to leverage the Sunesys fiber footprint to support new small cell networks. The Sunesys fiber is complementary to the Company's existing fiber assets and is located where the Company expects to see wireless carrier network investments.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Assets acquired in the Sunesys Acquisition are included in the Company's REIT and as such, no deferred taxes were recorded in connection with the Sunesys Acquisition.</w:t>
      </w:r>
    </w:p>
    <w:p>
      <w:pPr>
        <w:spacing w:after="0" w:line="1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revenues and net income (loss) attributable to the Sunesys Acquisition are included in the Company's consolidated statements of operations and comprehensive income (loss), since the date the acquisition was completed. For the year ended December 31, 2015, the Sunesys Acquisition resulted in an increase to consolidated net revenues of $41.4 million.</w:t>
      </w:r>
    </w:p>
    <w:p>
      <w:pPr>
        <w:spacing w:after="0" w:line="200" w:lineRule="exact"/>
        <w:rPr>
          <w:sz w:val="20"/>
          <w:szCs w:val="20"/>
          <w:color w:val="auto"/>
        </w:rPr>
      </w:pPr>
    </w:p>
    <w:p>
      <w:pPr>
        <w:spacing w:after="0" w:line="355"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Lives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2014</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1,617,919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1,491,640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Buildings</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40 years</w:t>
            </w:r>
          </w:p>
        </w:tc>
        <w:tc>
          <w:tcPr>
            <w:tcW w:w="3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86,760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58,491</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Towers and small cells</w:t>
            </w: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1-20 years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12,856,115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11,782,715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Information technology assets and other</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2-7 years</w:t>
            </w:r>
          </w:p>
        </w:tc>
        <w:tc>
          <w:tcPr>
            <w:tcW w:w="3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239,332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199,834</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process</w:t>
            </w: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578,806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502,499</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15,378,932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14,035,179</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(5,798,875)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(5,052,396)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9,580,057</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8,982,783</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222885</wp:posOffset>
            </wp:positionV>
            <wp:extent cx="914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39"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Depreciation expense for the years ended December 31, 2015, 2014 and 2013 was $774.9 million, $733.6 million and $536.2 million, respectively. Capital leases and associated leasehold improvements related to gross property and equipment, and accumulated depreciation was $4.4 billion and $1.2 billion, respectively, as of December 31, 2015. See notes 1 and 2, including discussion of the Company's prepaid master lease agreements.</w:t>
      </w:r>
    </w:p>
    <w:p>
      <w:pPr>
        <w:spacing w:after="0" w:line="324" w:lineRule="exact"/>
        <w:rPr>
          <w:sz w:val="20"/>
          <w:szCs w:val="20"/>
          <w:color w:val="auto"/>
        </w:rPr>
      </w:pPr>
    </w:p>
    <w:p>
      <w:pPr>
        <w:ind w:left="420" w:right="8620" w:hanging="412"/>
        <w:spacing w:after="0" w:line="440" w:lineRule="auto"/>
        <w:tabs>
          <w:tab w:leader="none" w:pos="4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value of goodwill for the years ended December 31, 2015 and December 31,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December 31, 2013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Adjustments to AT&amp;T Acquisition 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due to other acquisitions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adjustments,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December 31, 2014</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due to Sunesys Acquisition</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due to other acquisitions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purchase price allocations,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140970</wp:posOffset>
            </wp:positionV>
            <wp:extent cx="914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14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4,902,950</w:t>
      </w:r>
    </w:p>
    <w:p>
      <w:pPr>
        <w:spacing w:after="0" w:line="8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134,242</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159,362</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(69)</w:t>
      </w:r>
    </w:p>
    <w:p>
      <w:pPr>
        <w:spacing w:after="0" w:line="86" w:lineRule="exact"/>
        <w:rPr>
          <w:sz w:val="20"/>
          <w:szCs w:val="20"/>
          <w:color w:val="auto"/>
        </w:rPr>
      </w:pPr>
    </w:p>
    <w:p>
      <w:pPr>
        <w:spacing w:after="0"/>
        <w:tabs>
          <w:tab w:leader="none" w:pos="14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5,196,485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59690</wp:posOffset>
            </wp:positionV>
            <wp:extent cx="14408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0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325,696</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41,542</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(50,172)</w:t>
      </w:r>
    </w:p>
    <w:p>
      <w:pPr>
        <w:spacing w:after="0" w:line="86" w:lineRule="exact"/>
        <w:rPr>
          <w:sz w:val="20"/>
          <w:szCs w:val="20"/>
          <w:color w:val="auto"/>
        </w:rPr>
      </w:pPr>
    </w:p>
    <w:p>
      <w:pPr>
        <w:spacing w:after="0"/>
        <w:tabs>
          <w:tab w:leader="none" w:pos="14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5,513,551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59690</wp:posOffset>
            </wp:positionV>
            <wp:extent cx="14408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460" w:space="720"/>
            <w:col w:w="2240"/>
          </w:cols>
          <w:pgMar w:left="240" w:top="337" w:right="239" w:bottom="1440" w:gutter="0" w:footer="0" w:header="0"/>
          <w:type w:val="continuous"/>
        </w:sectPr>
      </w:pPr>
    </w:p>
    <w:p>
      <w:pPr>
        <w:spacing w:after="0" w:line="30" w:lineRule="exact"/>
        <w:rPr>
          <w:sz w:val="20"/>
          <w:szCs w:val="20"/>
          <w:color w:val="auto"/>
        </w:rPr>
      </w:pPr>
    </w:p>
    <w:p>
      <w:pPr>
        <w:jc w:val="both"/>
        <w:ind w:left="340" w:hanging="332"/>
        <w:spacing w:after="0" w:line="257"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purchase price allocation for the Sunesys Acquisition resulted in the recognition of goodwill based on the Company's expectation to leverage the Sunesys fiber footprint to support new small cell networks. The Sunesys fiber is complementary to the Company's existing fiber assets and is located where the Company expects to see wireless carrier network investments. See note 4.</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Intangibles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intangible assets. See note 4 for further discussion of the Company's acquisitions.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As of December 31, 2015</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As of December 31, 2014</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6"/>
              </w:rPr>
              <w:t>Gross Carrying</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Book Value</w:t>
            </w:r>
          </w:p>
        </w:tc>
        <w:tc>
          <w:tcPr>
            <w:tcW w:w="140" w:type="dxa"/>
            <w:vAlign w:val="bottom"/>
          </w:tcPr>
          <w:p>
            <w:pPr>
              <w:spacing w:after="0"/>
              <w:rPr>
                <w:sz w:val="13"/>
                <w:szCs w:val="13"/>
                <w:color w:val="auto"/>
              </w:rPr>
            </w:pPr>
          </w:p>
        </w:tc>
        <w:tc>
          <w:tcPr>
            <w:tcW w:w="1100" w:type="dxa"/>
            <w:vAlign w:val="bottom"/>
          </w:tcPr>
          <w:p>
            <w:pPr>
              <w:jc w:val="right"/>
              <w:ind w:right="63"/>
              <w:spacing w:after="0" w:line="153" w:lineRule="exact"/>
              <w:rPr>
                <w:sz w:val="20"/>
                <w:szCs w:val="20"/>
                <w:color w:val="auto"/>
              </w:rPr>
            </w:pPr>
            <w:r>
              <w:rPr>
                <w:rFonts w:ascii="Arial" w:cs="Arial" w:eastAsia="Arial" w:hAnsi="Arial"/>
                <w:sz w:val="14"/>
                <w:szCs w:val="14"/>
                <w:b w:val="1"/>
                <w:bCs w:val="1"/>
                <w:color w:val="auto"/>
                <w:w w:val="92"/>
              </w:rPr>
              <w:t>Gross Carrying</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3"/>
              </w:rPr>
              <w:t>Net Book Value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03"/>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63"/>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customer</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5,009,241</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(1,588,061)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3,421,180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4,627,429</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(1,340,285)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3,287,144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482,142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(123,407)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358,735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496,284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(101,877)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394,407</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5,491,383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(1,711,468)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3,779,915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5,123,713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(1,442,162)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3,681,551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Amortization expense related to intangible assets is classified as follows on the Company's consolidated statement of operations and comprehensive income (loss):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4"/>
                <w:szCs w:val="14"/>
                <w:b w:val="1"/>
                <w:bCs w:val="1"/>
                <w:color w:val="auto"/>
                <w:w w:val="93"/>
              </w:rPr>
              <w:t>For Years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2013</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251,443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242,967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197,906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22,105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10,197</w:t>
            </w:r>
          </w:p>
        </w:tc>
      </w:tr>
      <w:tr>
        <w:trPr>
          <w:trHeight w:val="33"/>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271,863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208,103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costs of operations") for the years ended December 31, 2016 to 2020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Ending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50"/>
        </w:trPr>
        <w:tc>
          <w:tcPr>
            <w:tcW w:w="29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272,067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271,503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271,054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270,618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270,188</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337" w:right="23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34"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 long-term liabilities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is a summary of the components of "other long-term liabilities" as presented on the Company's consolidated balance sheet. See also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2014</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rental 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864,269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604,825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ground lease payable</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467,411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406,732</w:t>
            </w: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Above market leases for land interests,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242,893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272,694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credits, net</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239,527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222,460</w:t>
            </w: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retirement obligation (see note 14)</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132,110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119,463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liabilities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2,059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39,889</w:t>
            </w: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r>
      <w:tr>
        <w:trPr>
          <w:trHeight w:val="217"/>
        </w:trPr>
        <w:tc>
          <w:tcPr>
            <w:tcW w:w="8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1,948,636</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1,666,391</w:t>
            </w: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years ended December 31, 2015, 2014, and 2013, the Company recorded $22.5 million, $24.2 million, and $7.2 million, respectively, as a decrease to "site rental costs of operations" for the amortization of above-market leases for land interests under the Company's towers. The estimated amortization expense related to above-market leases for land interests under the Company's towers recorded to site rental costs of operations for the years ended December 31, 2016 to 2020 is as follows:</w:t>
      </w:r>
    </w:p>
    <w:p>
      <w:pPr>
        <w:spacing w:after="0" w:line="354"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605"/>
              <w:spacing w:after="0"/>
              <w:rPr>
                <w:sz w:val="20"/>
                <w:szCs w:val="20"/>
                <w:color w:val="auto"/>
              </w:rPr>
            </w:pPr>
            <w:r>
              <w:rPr>
                <w:rFonts w:ascii="Arial" w:cs="Arial" w:eastAsia="Arial" w:hAnsi="Arial"/>
                <w:sz w:val="14"/>
                <w:szCs w:val="14"/>
                <w:b w:val="1"/>
                <w:bCs w:val="1"/>
                <w:color w:val="auto"/>
                <w:w w:val="92"/>
              </w:rPr>
              <w:t>Years Ending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2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r>
      <w:tr>
        <w:trPr>
          <w:trHeight w:val="206"/>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Above-market leases for land</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6"/>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17,569</w:t>
            </w:r>
          </w:p>
        </w:tc>
      </w:tr>
      <w:tr>
        <w:trPr>
          <w:trHeight w:val="33"/>
        </w:trPr>
        <w:tc>
          <w:tcPr>
            <w:tcW w:w="2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years ended December 31, 2015, 2014, and 2013 the Company recognized $32.8 million, $29.5 million, and $29.6 million, respectively, in "site rental revenues" related to the amortization of below market tenant leases. The following table summarizes the estimated annual amounts related to below-market tenant leases expected to be amortized into site rental revenues for the years ended December 31, 2016 to 2020 are as follows:</w:t>
      </w:r>
    </w:p>
    <w:p>
      <w:pPr>
        <w:spacing w:after="0" w:line="333"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605"/>
              <w:spacing w:after="0"/>
              <w:rPr>
                <w:sz w:val="20"/>
                <w:szCs w:val="20"/>
                <w:color w:val="auto"/>
              </w:rPr>
            </w:pPr>
            <w:r>
              <w:rPr>
                <w:rFonts w:ascii="Arial" w:cs="Arial" w:eastAsia="Arial" w:hAnsi="Arial"/>
                <w:sz w:val="14"/>
                <w:szCs w:val="14"/>
                <w:b w:val="1"/>
                <w:bCs w:val="1"/>
                <w:color w:val="auto"/>
                <w:w w:val="92"/>
              </w:rPr>
              <w:t>Years Ending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0"/>
        </w:trPr>
        <w:tc>
          <w:tcPr>
            <w:tcW w:w="25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r>
      <w:tr>
        <w:trPr>
          <w:trHeight w:val="223"/>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Below-market tenant leases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w:t>
            </w:r>
          </w:p>
        </w:tc>
      </w:tr>
      <w:tr>
        <w:trPr>
          <w:trHeight w:val="33"/>
        </w:trPr>
        <w:tc>
          <w:tcPr>
            <w:tcW w:w="2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accrued liabilities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accrued liabilities included accrued payroll and other accrued compensation of $78.7 million and $61.9 million, respectively,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and 2014.</w:t>
      </w:r>
    </w:p>
    <w:p>
      <w:pPr>
        <w:spacing w:after="0" w:line="315"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Debt and Other Obligations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19 for a discussion of the Company's 2016 financing activities, including: (1) the completion of the 2016 Credit Facility, (2) the repayment of the 2012 Credit Facility, and (3) the issuance of the 2016 Senior Unsecured Notes and the utilization of such proceeds.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the Company's debt and other obligations as of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left="387"/>
              <w:spacing w:after="0"/>
              <w:rPr>
                <w:sz w:val="20"/>
                <w:szCs w:val="20"/>
                <w:color w:val="auto"/>
              </w:rPr>
            </w:pPr>
            <w:r>
              <w:rPr>
                <w:rFonts w:ascii="Arial" w:cs="Arial" w:eastAsia="Arial" w:hAnsi="Arial"/>
                <w:sz w:val="14"/>
                <w:szCs w:val="14"/>
                <w:b w:val="1"/>
                <w:bCs w:val="1"/>
                <w:color w:val="auto"/>
                <w:w w:val="88"/>
              </w:rPr>
              <w:t>Stated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Interest Rate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4"/>
              </w:rPr>
              <w:t>Outstanding Balance as of December 31,</w:t>
            </w:r>
          </w:p>
        </w:tc>
        <w:tc>
          <w:tcPr>
            <w:tcW w:w="220" w:type="dxa"/>
            <w:vAlign w:val="bottom"/>
          </w:tcPr>
          <w:p>
            <w:pPr>
              <w:spacing w:after="0"/>
              <w:rPr>
                <w:sz w:val="12"/>
                <w:szCs w:val="12"/>
                <w:color w:val="auto"/>
              </w:rPr>
            </w:pPr>
          </w:p>
        </w:tc>
        <w:tc>
          <w:tcPr>
            <w:tcW w:w="840" w:type="dxa"/>
            <w:vAlign w:val="bottom"/>
          </w:tcPr>
          <w:p>
            <w:pPr>
              <w:jc w:val="center"/>
              <w:ind w:left="367"/>
              <w:spacing w:after="0" w:line="149" w:lineRule="exact"/>
              <w:rPr>
                <w:sz w:val="20"/>
                <w:szCs w:val="20"/>
                <w:color w:val="auto"/>
              </w:rPr>
            </w:pPr>
            <w:r>
              <w:rPr>
                <w:rFonts w:ascii="Arial" w:cs="Arial" w:eastAsia="Arial" w:hAnsi="Arial"/>
                <w:sz w:val="14"/>
                <w:szCs w:val="14"/>
                <w:b w:val="1"/>
                <w:bCs w:val="1"/>
                <w:color w:val="auto"/>
                <w:w w:val="85"/>
              </w:rPr>
              <w:t>as of</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60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8"/>
              </w:rPr>
              <w:t>Original</w:t>
            </w:r>
          </w:p>
        </w:tc>
        <w:tc>
          <w:tcPr>
            <w:tcW w:w="138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rPr>
              <w:t>Maturity</w:t>
            </w:r>
          </w:p>
        </w:tc>
        <w:tc>
          <w:tcPr>
            <w:tcW w:w="4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vMerge w:val="restart"/>
          </w:tcPr>
          <w:p>
            <w:pPr>
              <w:ind w:left="2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980" w:type="dxa"/>
            <w:vAlign w:val="bottom"/>
          </w:tcPr>
          <w:p>
            <w:pPr>
              <w:spacing w:after="0"/>
              <w:rPr>
                <w:sz w:val="8"/>
                <w:szCs w:val="8"/>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Issue Date</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1060" w:type="dxa"/>
            <w:vAlign w:val="bottom"/>
            <w:gridSpan w:val="2"/>
            <w:vMerge w:val="restart"/>
          </w:tcPr>
          <w:p>
            <w:pPr>
              <w:jc w:val="center"/>
              <w:ind w:left="608"/>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98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40"/>
              <w:spacing w:after="0"/>
              <w:rPr>
                <w:sz w:val="20"/>
                <w:szCs w:val="20"/>
                <w:color w:val="auto"/>
              </w:rPr>
            </w:pPr>
            <w:r>
              <w:rPr>
                <w:rFonts w:ascii="Arial" w:cs="Arial" w:eastAsia="Arial" w:hAnsi="Arial"/>
                <w:sz w:val="16"/>
                <w:szCs w:val="16"/>
                <w:color w:val="auto"/>
              </w:rPr>
              <w:t>Bank debt – variable rate:</w:t>
            </w: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9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2012 Revolver</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 2012</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 2019</w:t>
            </w:r>
          </w:p>
        </w:tc>
        <w:tc>
          <w:tcPr>
            <w:tcW w:w="4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1,125,000</w:t>
            </w:r>
          </w:p>
        </w:tc>
        <w:tc>
          <w:tcPr>
            <w:tcW w:w="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695,000</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21"/>
                <w:szCs w:val="21"/>
                <w:color w:val="auto"/>
                <w:vertAlign w:val="superscript"/>
              </w:rPr>
              <w:t>(c)</w:t>
            </w: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6"/>
                <w:szCs w:val="16"/>
                <w:color w:val="auto"/>
              </w:rPr>
              <w:t>Tranche A Term Loans</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 2012</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Jan. 2019</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629,375</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645,938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21"/>
                <w:szCs w:val="21"/>
                <w:color w:val="auto"/>
                <w:vertAlign w:val="superscript"/>
              </w:rPr>
              <w:t>(c)</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Tranche B Term Loans</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 2012</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 2021</w:t>
            </w:r>
          </w:p>
        </w:tc>
        <w:tc>
          <w:tcPr>
            <w:tcW w:w="4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2,247,015</w:t>
            </w:r>
          </w:p>
        </w:tc>
        <w:tc>
          <w:tcPr>
            <w:tcW w:w="3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2,835,509</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xml:space="preserve">3.0% </w:t>
            </w:r>
            <w:r>
              <w:rPr>
                <w:rFonts w:ascii="Arial" w:cs="Arial" w:eastAsia="Arial" w:hAnsi="Arial"/>
                <w:sz w:val="21"/>
                <w:szCs w:val="21"/>
                <w:color w:val="auto"/>
                <w:vertAlign w:val="superscript"/>
              </w:rPr>
              <w:t>(d)</w:t>
            </w:r>
          </w:p>
        </w:tc>
        <w:tc>
          <w:tcPr>
            <w:tcW w:w="0" w:type="dxa"/>
            <w:vAlign w:val="bottom"/>
          </w:tcPr>
          <w:p>
            <w:pPr>
              <w:spacing w:after="0"/>
              <w:rPr>
                <w:sz w:val="1"/>
                <w:szCs w:val="1"/>
                <w:color w:val="auto"/>
              </w:rPr>
            </w:pPr>
          </w:p>
        </w:tc>
      </w:tr>
      <w:tr>
        <w:trPr>
          <w:trHeight w:val="217"/>
        </w:trPr>
        <w:tc>
          <w:tcPr>
            <w:tcW w:w="2980" w:type="dxa"/>
            <w:vAlign w:val="bottom"/>
          </w:tcPr>
          <w:p>
            <w:pPr>
              <w:ind w:left="720"/>
              <w:spacing w:after="0"/>
              <w:rPr>
                <w:sz w:val="20"/>
                <w:szCs w:val="20"/>
                <w:color w:val="auto"/>
              </w:rPr>
            </w:pPr>
            <w:r>
              <w:rPr>
                <w:rFonts w:ascii="Arial" w:cs="Arial" w:eastAsia="Arial" w:hAnsi="Arial"/>
                <w:sz w:val="16"/>
                <w:szCs w:val="16"/>
                <w:color w:val="auto"/>
              </w:rPr>
              <w:t>Total bank debt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4,001,390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4,176,447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Securitized debt – fixed rate:</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8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900" w:type="dxa"/>
            <w:vAlign w:val="bottom"/>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6"/>
                <w:szCs w:val="16"/>
                <w:color w:val="auto"/>
                <w:w w:val="98"/>
              </w:rPr>
              <w:t>January 2010 Tower Revenue Notes</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 2010</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2037-2040</w:t>
            </w:r>
          </w:p>
        </w:tc>
        <w:tc>
          <w:tcPr>
            <w:tcW w:w="460" w:type="dxa"/>
            <w:vAlign w:val="bottom"/>
          </w:tcPr>
          <w:p>
            <w:pPr>
              <w:ind w:left="40"/>
              <w:spacing w:after="0"/>
              <w:rPr>
                <w:sz w:val="20"/>
                <w:szCs w:val="20"/>
                <w:color w:val="auto"/>
              </w:rPr>
            </w:pPr>
            <w:r>
              <w:rPr>
                <w:rFonts w:ascii="Arial" w:cs="Arial" w:eastAsia="Arial" w:hAnsi="Arial"/>
                <w:sz w:val="11"/>
                <w:szCs w:val="11"/>
                <w:color w:val="auto"/>
              </w:rPr>
              <w:t>(e)</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1,600,000</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1,600,000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 xml:space="preserve">6.0% </w:t>
            </w:r>
            <w:r>
              <w:rPr>
                <w:rFonts w:ascii="Arial" w:cs="Arial" w:eastAsia="Arial" w:hAnsi="Arial"/>
                <w:sz w:val="21"/>
                <w:szCs w:val="21"/>
                <w:color w:val="auto"/>
                <w:vertAlign w:val="superscript"/>
              </w:rPr>
              <w:t>(e)</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August 2010 Tower Revenue Notes</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Aug. 2010</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2037-2040</w:t>
            </w:r>
          </w:p>
        </w:tc>
        <w:tc>
          <w:tcPr>
            <w:tcW w:w="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(e)</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1,300,000</w:t>
            </w: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1,550,000</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xml:space="preserve">4.7% </w:t>
            </w:r>
            <w:r>
              <w:rPr>
                <w:rFonts w:ascii="Arial" w:cs="Arial" w:eastAsia="Arial" w:hAnsi="Arial"/>
                <w:sz w:val="21"/>
                <w:szCs w:val="21"/>
                <w:color w:val="auto"/>
                <w:vertAlign w:val="superscript"/>
              </w:rPr>
              <w:t>(e)</w:t>
            </w:r>
          </w:p>
        </w:tc>
        <w:tc>
          <w:tcPr>
            <w:tcW w:w="0" w:type="dxa"/>
            <w:vAlign w:val="bottom"/>
          </w:tcPr>
          <w:p>
            <w:pPr>
              <w:spacing w:after="0"/>
              <w:rPr>
                <w:sz w:val="1"/>
                <w:szCs w:val="1"/>
                <w:color w:val="auto"/>
              </w:rPr>
            </w:pPr>
          </w:p>
        </w:tc>
      </w:tr>
      <w:tr>
        <w:trPr>
          <w:trHeight w:val="224"/>
        </w:trPr>
        <w:tc>
          <w:tcPr>
            <w:tcW w:w="2980" w:type="dxa"/>
            <w:vAlign w:val="bottom"/>
          </w:tcPr>
          <w:p>
            <w:pPr>
              <w:ind w:left="380"/>
              <w:spacing w:after="0"/>
              <w:rPr>
                <w:sz w:val="20"/>
                <w:szCs w:val="20"/>
                <w:color w:val="auto"/>
              </w:rPr>
            </w:pPr>
            <w:r>
              <w:rPr>
                <w:rFonts w:ascii="Arial" w:cs="Arial" w:eastAsia="Arial" w:hAnsi="Arial"/>
                <w:sz w:val="16"/>
                <w:szCs w:val="16"/>
                <w:color w:val="auto"/>
              </w:rPr>
              <w:t>May 2015 Tower Revenue Notes</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3"/>
              </w:rPr>
              <w:t>May 2015</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1"/>
              </w:rPr>
              <w:t>2042-2045</w:t>
            </w:r>
          </w:p>
        </w:tc>
        <w:tc>
          <w:tcPr>
            <w:tcW w:w="460" w:type="dxa"/>
            <w:vAlign w:val="bottom"/>
            <w:vMerge w:val="restart"/>
          </w:tcPr>
          <w:p>
            <w:pPr>
              <w:ind w:left="40"/>
              <w:spacing w:after="0"/>
              <w:rPr>
                <w:sz w:val="20"/>
                <w:szCs w:val="20"/>
                <w:color w:val="auto"/>
              </w:rPr>
            </w:pPr>
            <w:r>
              <w:rPr>
                <w:rFonts w:ascii="Arial" w:cs="Arial" w:eastAsia="Arial" w:hAnsi="Arial"/>
                <w:sz w:val="11"/>
                <w:szCs w:val="11"/>
                <w:color w:val="auto"/>
              </w:rPr>
              <w:t>(e)</w:t>
            </w:r>
          </w:p>
        </w:tc>
        <w:tc>
          <w:tcPr>
            <w:tcW w:w="200" w:type="dxa"/>
            <w:vAlign w:val="bottom"/>
          </w:tcPr>
          <w:p>
            <w:pPr>
              <w:spacing w:after="0"/>
              <w:rPr>
                <w:sz w:val="19"/>
                <w:szCs w:val="19"/>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6"/>
                <w:szCs w:val="16"/>
                <w:color w:val="auto"/>
              </w:rPr>
              <w:t>1,000,000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21"/>
                <w:szCs w:val="21"/>
                <w:color w:val="auto"/>
                <w:vertAlign w:val="superscript"/>
              </w:rPr>
              <w:t>(e)</w:t>
            </w: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9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2009 Securitized Notes</w:t>
            </w:r>
          </w:p>
        </w:tc>
        <w:tc>
          <w:tcPr>
            <w:tcW w:w="16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3"/>
              </w:rPr>
              <w:t>July 2009</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2019/2029</w:t>
            </w:r>
          </w:p>
        </w:tc>
        <w:tc>
          <w:tcPr>
            <w:tcW w:w="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(f)</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141,592</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160,822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w w:val="98"/>
              </w:rPr>
              <w:t>7.6%</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98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gridSpan w:val="2"/>
            <w:vMerge w:val="continue"/>
            <w:shd w:val="clear" w:color="auto" w:fill="CCEEFF"/>
          </w:tcPr>
          <w:p>
            <w:pPr>
              <w:spacing w:after="0"/>
              <w:rPr>
                <w:sz w:val="7"/>
                <w:szCs w:val="7"/>
                <w:color w:val="auto"/>
              </w:rPr>
            </w:pPr>
          </w:p>
        </w:tc>
        <w:tc>
          <w:tcPr>
            <w:tcW w:w="1380" w:type="dxa"/>
            <w:vAlign w:val="bottom"/>
            <w:tcBorders>
              <w:bottom w:val="single" w:sz="8" w:color="CCEEFF"/>
            </w:tcBorders>
            <w:vMerge w:val="continue"/>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vMerge w:val="continue"/>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vMerge w:val="continue"/>
            <w:shd w:val="clear" w:color="auto" w:fill="CCEEFF"/>
          </w:tcPr>
          <w:p>
            <w:pPr>
              <w:spacing w:after="0"/>
              <w:rPr>
                <w:sz w:val="7"/>
                <w:szCs w:val="7"/>
                <w:color w:val="auto"/>
              </w:rPr>
            </w:pPr>
          </w:p>
        </w:tc>
        <w:tc>
          <w:tcPr>
            <w:tcW w:w="4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380"/>
              <w:spacing w:after="0"/>
              <w:rPr>
                <w:sz w:val="20"/>
                <w:szCs w:val="20"/>
                <w:color w:val="auto"/>
              </w:rPr>
            </w:pPr>
            <w:r>
              <w:rPr>
                <w:rFonts w:ascii="Arial" w:cs="Arial" w:eastAsia="Arial" w:hAnsi="Arial"/>
                <w:sz w:val="16"/>
                <w:szCs w:val="16"/>
                <w:color w:val="auto"/>
              </w:rPr>
              <w:t>WCP Securitized Notes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Nov. 2010</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Nov. 2040</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262,386</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securitized debt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4,041,592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3,573,208</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980" w:type="dxa"/>
            <w:vAlign w:val="bottom"/>
          </w:tcPr>
          <w:p>
            <w:pPr>
              <w:ind w:left="40"/>
              <w:spacing w:after="0"/>
              <w:rPr>
                <w:sz w:val="20"/>
                <w:szCs w:val="20"/>
                <w:color w:val="auto"/>
              </w:rPr>
            </w:pPr>
            <w:r>
              <w:rPr>
                <w:rFonts w:ascii="Arial" w:cs="Arial" w:eastAsia="Arial" w:hAnsi="Arial"/>
                <w:sz w:val="16"/>
                <w:szCs w:val="16"/>
                <w:color w:val="auto"/>
              </w:rPr>
              <w:t>Bonds – fixed rate:</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5.25% Senior Notes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Oct. 2012</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Jan. 2023</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1,649,969</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1,649,969</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w w:val="98"/>
              </w:rPr>
              <w:t>5.3%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380"/>
              <w:spacing w:after="0" w:line="135" w:lineRule="exact"/>
              <w:rPr>
                <w:sz w:val="20"/>
                <w:szCs w:val="20"/>
                <w:color w:val="auto"/>
              </w:rPr>
            </w:pPr>
            <w:r>
              <w:rPr>
                <w:rFonts w:ascii="Arial" w:cs="Arial" w:eastAsia="Arial" w:hAnsi="Arial"/>
                <w:sz w:val="15"/>
                <w:szCs w:val="15"/>
                <w:color w:val="auto"/>
              </w:rPr>
              <w:t>2012 Secured Notes</w:t>
            </w: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5"/>
                <w:szCs w:val="15"/>
                <w:color w:val="auto"/>
                <w:w w:val="99"/>
              </w:rPr>
              <w:t>Dec. 2012</w:t>
            </w:r>
          </w:p>
        </w:tc>
        <w:tc>
          <w:tcPr>
            <w:tcW w:w="1380" w:type="dxa"/>
            <w:vAlign w:val="bottom"/>
          </w:tcPr>
          <w:p>
            <w:pPr>
              <w:jc w:val="center"/>
              <w:spacing w:after="0" w:line="135" w:lineRule="exact"/>
              <w:rPr>
                <w:sz w:val="20"/>
                <w:szCs w:val="20"/>
                <w:color w:val="auto"/>
              </w:rPr>
            </w:pPr>
            <w:r>
              <w:rPr>
                <w:rFonts w:ascii="Arial" w:cs="Arial" w:eastAsia="Arial" w:hAnsi="Arial"/>
                <w:sz w:val="15"/>
                <w:szCs w:val="15"/>
                <w:color w:val="auto"/>
                <w:w w:val="98"/>
              </w:rPr>
              <w:t>2017/2023</w:t>
            </w:r>
          </w:p>
        </w:tc>
        <w:tc>
          <w:tcPr>
            <w:tcW w:w="460" w:type="dxa"/>
            <w:vAlign w:val="bottom"/>
            <w:vMerge w:val="restart"/>
          </w:tcPr>
          <w:p>
            <w:pPr>
              <w:ind w:left="40"/>
              <w:spacing w:after="0"/>
              <w:rPr>
                <w:sz w:val="20"/>
                <w:szCs w:val="20"/>
                <w:color w:val="auto"/>
              </w:rPr>
            </w:pPr>
            <w:r>
              <w:rPr>
                <w:rFonts w:ascii="Arial" w:cs="Arial" w:eastAsia="Arial" w:hAnsi="Arial"/>
                <w:sz w:val="11"/>
                <w:szCs w:val="11"/>
                <w:color w:val="auto"/>
              </w:rPr>
              <w:t>(h)</w:t>
            </w:r>
          </w:p>
        </w:tc>
        <w:tc>
          <w:tcPr>
            <w:tcW w:w="200" w:type="dxa"/>
            <w:vAlign w:val="bottom"/>
          </w:tcPr>
          <w:p>
            <w:pPr>
              <w:spacing w:after="0"/>
              <w:rPr>
                <w:sz w:val="11"/>
                <w:szCs w:val="11"/>
                <w:color w:val="auto"/>
              </w:rPr>
            </w:pPr>
          </w:p>
        </w:tc>
        <w:tc>
          <w:tcPr>
            <w:tcW w:w="1160" w:type="dxa"/>
            <w:vAlign w:val="bottom"/>
          </w:tcPr>
          <w:p>
            <w:pPr>
              <w:jc w:val="right"/>
              <w:ind w:right="40"/>
              <w:spacing w:after="0" w:line="135" w:lineRule="exact"/>
              <w:rPr>
                <w:sz w:val="20"/>
                <w:szCs w:val="20"/>
                <w:color w:val="auto"/>
              </w:rPr>
            </w:pPr>
            <w:r>
              <w:rPr>
                <w:rFonts w:ascii="Arial" w:cs="Arial" w:eastAsia="Arial" w:hAnsi="Arial"/>
                <w:sz w:val="15"/>
                <w:szCs w:val="15"/>
                <w:color w:val="auto"/>
              </w:rPr>
              <w:t>1,500,000</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ind w:right="20"/>
              <w:spacing w:after="0" w:line="135" w:lineRule="exact"/>
              <w:rPr>
                <w:sz w:val="20"/>
                <w:szCs w:val="20"/>
                <w:color w:val="auto"/>
              </w:rPr>
            </w:pPr>
            <w:r>
              <w:rPr>
                <w:rFonts w:ascii="Arial" w:cs="Arial" w:eastAsia="Arial" w:hAnsi="Arial"/>
                <w:sz w:val="15"/>
                <w:szCs w:val="15"/>
                <w:color w:val="auto"/>
              </w:rPr>
              <w:t>1,500,000</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5"/>
                <w:szCs w:val="15"/>
                <w:color w:val="auto"/>
              </w:rPr>
              <w:t>3.4%</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4.875% Senior Notes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Apr. 2014</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Apr. 2022</w:t>
            </w:r>
          </w:p>
        </w:tc>
        <w:tc>
          <w:tcPr>
            <w:tcW w:w="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846,522</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846,062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w w:val="98"/>
              </w:rPr>
              <w:t>4.9%</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720"/>
              <w:spacing w:after="0"/>
              <w:rPr>
                <w:sz w:val="20"/>
                <w:szCs w:val="20"/>
                <w:color w:val="auto"/>
              </w:rPr>
            </w:pPr>
            <w:r>
              <w:rPr>
                <w:rFonts w:ascii="Arial" w:cs="Arial" w:eastAsia="Arial" w:hAnsi="Arial"/>
                <w:sz w:val="16"/>
                <w:szCs w:val="16"/>
                <w:color w:val="auto"/>
              </w:rPr>
              <w:t>Total bonds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3,996,491</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3,996,031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8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00" w:type="dxa"/>
            <w:vAlign w:val="bottom"/>
            <w:gridSpan w:val="2"/>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380"/>
              <w:spacing w:after="0" w:line="135" w:lineRule="exact"/>
              <w:rPr>
                <w:sz w:val="20"/>
                <w:szCs w:val="20"/>
                <w:color w:val="auto"/>
              </w:rPr>
            </w:pPr>
            <w:r>
              <w:rPr>
                <w:rFonts w:ascii="Arial" w:cs="Arial" w:eastAsia="Arial" w:hAnsi="Arial"/>
                <w:sz w:val="15"/>
                <w:szCs w:val="15"/>
                <w:color w:val="auto"/>
              </w:rPr>
              <w:t>Capital leases and other obligations</w:t>
            </w: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5"/>
                <w:szCs w:val="15"/>
                <w:color w:val="auto"/>
                <w:w w:val="94"/>
              </w:rPr>
              <w:t>Various</w:t>
            </w:r>
          </w:p>
        </w:tc>
        <w:tc>
          <w:tcPr>
            <w:tcW w:w="1380" w:type="dxa"/>
            <w:vAlign w:val="bottom"/>
          </w:tcPr>
          <w:p>
            <w:pPr>
              <w:jc w:val="center"/>
              <w:spacing w:after="0" w:line="135" w:lineRule="exact"/>
              <w:rPr>
                <w:sz w:val="20"/>
                <w:szCs w:val="20"/>
                <w:color w:val="auto"/>
              </w:rPr>
            </w:pPr>
            <w:r>
              <w:rPr>
                <w:rFonts w:ascii="Arial" w:cs="Arial" w:eastAsia="Arial" w:hAnsi="Arial"/>
                <w:sz w:val="15"/>
                <w:szCs w:val="15"/>
                <w:color w:val="auto"/>
                <w:w w:val="98"/>
              </w:rPr>
              <w:t>Various</w:t>
            </w:r>
          </w:p>
        </w:tc>
        <w:tc>
          <w:tcPr>
            <w:tcW w:w="460" w:type="dxa"/>
            <w:vAlign w:val="bottom"/>
            <w:vMerge w:val="restart"/>
          </w:tcPr>
          <w:p>
            <w:pPr>
              <w:ind w:left="40"/>
              <w:spacing w:after="0"/>
              <w:rPr>
                <w:sz w:val="20"/>
                <w:szCs w:val="20"/>
                <w:color w:val="auto"/>
              </w:rPr>
            </w:pPr>
            <w:r>
              <w:rPr>
                <w:rFonts w:ascii="Arial" w:cs="Arial" w:eastAsia="Arial" w:hAnsi="Arial"/>
                <w:sz w:val="11"/>
                <w:szCs w:val="11"/>
                <w:color w:val="auto"/>
              </w:rPr>
              <w:t>(g)</w:t>
            </w:r>
          </w:p>
        </w:tc>
        <w:tc>
          <w:tcPr>
            <w:tcW w:w="200" w:type="dxa"/>
            <w:vAlign w:val="bottom"/>
          </w:tcPr>
          <w:p>
            <w:pPr>
              <w:spacing w:after="0"/>
              <w:rPr>
                <w:sz w:val="11"/>
                <w:szCs w:val="11"/>
                <w:color w:val="auto"/>
              </w:rPr>
            </w:pPr>
          </w:p>
        </w:tc>
        <w:tc>
          <w:tcPr>
            <w:tcW w:w="1160" w:type="dxa"/>
            <w:vAlign w:val="bottom"/>
          </w:tcPr>
          <w:p>
            <w:pPr>
              <w:jc w:val="right"/>
              <w:ind w:right="40"/>
              <w:spacing w:after="0" w:line="135" w:lineRule="exact"/>
              <w:rPr>
                <w:sz w:val="20"/>
                <w:szCs w:val="20"/>
                <w:color w:val="auto"/>
              </w:rPr>
            </w:pPr>
            <w:r>
              <w:rPr>
                <w:rFonts w:ascii="Arial" w:cs="Arial" w:eastAsia="Arial" w:hAnsi="Arial"/>
                <w:sz w:val="15"/>
                <w:szCs w:val="15"/>
                <w:color w:val="auto"/>
              </w:rPr>
              <w:t>209,765</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ind w:right="20"/>
              <w:spacing w:after="0" w:line="135" w:lineRule="exact"/>
              <w:rPr>
                <w:sz w:val="20"/>
                <w:szCs w:val="20"/>
                <w:color w:val="auto"/>
              </w:rPr>
            </w:pPr>
            <w:r>
              <w:rPr>
                <w:rFonts w:ascii="Arial" w:cs="Arial" w:eastAsia="Arial" w:hAnsi="Arial"/>
                <w:sz w:val="15"/>
                <w:szCs w:val="15"/>
                <w:color w:val="auto"/>
              </w:rPr>
              <w:t>175,175</w:t>
            </w:r>
          </w:p>
        </w:tc>
        <w:tc>
          <w:tcPr>
            <w:tcW w:w="220" w:type="dxa"/>
            <w:vAlign w:val="bottom"/>
          </w:tcPr>
          <w:p>
            <w:pPr>
              <w:spacing w:after="0"/>
              <w:rPr>
                <w:sz w:val="11"/>
                <w:szCs w:val="11"/>
                <w:color w:val="auto"/>
              </w:rPr>
            </w:pPr>
          </w:p>
        </w:tc>
        <w:tc>
          <w:tcPr>
            <w:tcW w:w="1300" w:type="dxa"/>
            <w:vAlign w:val="bottom"/>
            <w:gridSpan w:val="2"/>
          </w:tcPr>
          <w:p>
            <w:pPr>
              <w:jc w:val="right"/>
              <w:ind w:right="79"/>
              <w:spacing w:after="0" w:line="135" w:lineRule="exact"/>
              <w:rPr>
                <w:sz w:val="20"/>
                <w:szCs w:val="20"/>
                <w:color w:val="auto"/>
              </w:rPr>
            </w:pPr>
            <w:r>
              <w:rPr>
                <w:rFonts w:ascii="Arial" w:cs="Arial" w:eastAsia="Arial" w:hAnsi="Arial"/>
                <w:sz w:val="15"/>
                <w:szCs w:val="15"/>
                <w:color w:val="auto"/>
              </w:rPr>
              <w:t>Various</w:t>
            </w:r>
          </w:p>
        </w:tc>
        <w:tc>
          <w:tcPr>
            <w:tcW w:w="440" w:type="dxa"/>
            <w:vAlign w:val="bottom"/>
            <w:vMerge w:val="restart"/>
          </w:tcPr>
          <w:p>
            <w:pPr>
              <w:ind w:left="20"/>
              <w:spacing w:after="0"/>
              <w:rPr>
                <w:sz w:val="20"/>
                <w:szCs w:val="20"/>
                <w:color w:val="auto"/>
              </w:rPr>
            </w:pPr>
            <w:r>
              <w:rPr>
                <w:rFonts w:ascii="Arial" w:cs="Arial" w:eastAsia="Arial" w:hAnsi="Arial"/>
                <w:sz w:val="11"/>
                <w:szCs w:val="11"/>
                <w:color w:val="auto"/>
              </w:rPr>
              <w:t>(g)</w:t>
            </w:r>
          </w:p>
        </w:tc>
        <w:tc>
          <w:tcPr>
            <w:tcW w:w="0" w:type="dxa"/>
            <w:vAlign w:val="bottom"/>
          </w:tcPr>
          <w:p>
            <w:pPr>
              <w:spacing w:after="0"/>
              <w:rPr>
                <w:sz w:val="1"/>
                <w:szCs w:val="1"/>
                <w:color w:val="auto"/>
              </w:rPr>
            </w:pPr>
          </w:p>
        </w:tc>
      </w:tr>
      <w:tr>
        <w:trPr>
          <w:trHeight w:val="32"/>
        </w:trPr>
        <w:tc>
          <w:tcPr>
            <w:tcW w:w="2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980" w:type="dxa"/>
            <w:vAlign w:val="bottom"/>
            <w:tcBorders>
              <w:bottom w:val="single" w:sz="8" w:color="CCEEFF"/>
            </w:tcBorders>
          </w:tcPr>
          <w:p>
            <w:pPr>
              <w:spacing w:after="0"/>
              <w:rPr>
                <w:sz w:val="8"/>
                <w:szCs w:val="8"/>
                <w:color w:val="auto"/>
              </w:rPr>
            </w:pPr>
          </w:p>
        </w:tc>
        <w:tc>
          <w:tcPr>
            <w:tcW w:w="14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380" w:type="dxa"/>
            <w:vAlign w:val="bottom"/>
            <w:tcBorders>
              <w:bottom w:val="single" w:sz="8" w:color="CCEEFF"/>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9"/>
              </w:rPr>
              <w:t>Total debt and other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12,249,238</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11,920,861</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40"/>
              <w:spacing w:after="0"/>
              <w:rPr>
                <w:sz w:val="20"/>
                <w:szCs w:val="20"/>
                <w:color w:val="auto"/>
              </w:rPr>
            </w:pPr>
            <w:r>
              <w:rPr>
                <w:rFonts w:ascii="Arial" w:cs="Arial" w:eastAsia="Arial" w:hAnsi="Arial"/>
                <w:sz w:val="16"/>
                <w:szCs w:val="16"/>
                <w:color w:val="auto"/>
                <w:w w:val="94"/>
              </w:rPr>
              <w:t>Less: current maturities and short-term debt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200"/>
              <w:spacing w:after="0"/>
              <w:rPr>
                <w:sz w:val="20"/>
                <w:szCs w:val="20"/>
                <w:color w:val="auto"/>
              </w:rPr>
            </w:pPr>
            <w:r>
              <w:rPr>
                <w:rFonts w:ascii="Arial" w:cs="Arial" w:eastAsia="Arial" w:hAnsi="Arial"/>
                <w:sz w:val="16"/>
                <w:szCs w:val="16"/>
                <w:color w:val="auto"/>
              </w:rPr>
              <w:t>and other current obligations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106,219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113,335</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Non-current portion of long-term debt and</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12,143,019</w:t>
            </w:r>
          </w:p>
        </w:tc>
        <w:tc>
          <w:tcPr>
            <w:tcW w:w="34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11,807,526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long-term obligations</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weighted-average stated interest rate.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of December 31, 2015, the undrawn availability under the senior secured revolving credit facility ("2012 Revolver") was $1.2 billion. See note 19.</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2012 Revolver and tranche A term loans ("Tranche A Term Loans"), including the Incremental Tranche A Term Loans (as defined below) bear interest at a rate per annum equal to LIBOR plus a credit spread ranging from 1.5% to 2.25%, based on the CCOC total net leverage ratio. The Company pays a commitment fee of approximately 0.25% per annum on the undrawn available amount under the 2012 Revolver.</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Tranche B Term Loans, including the Incremental Tranche B Term Loans and the Incremental Tranche B-2 Term Loans (defined below), bear interest at a rate per annum equal to LIBOR plus a credit spread range from 2.25% to 2.50%, based on CCOC's total net leverage ratio (with LIBOR subject to a floor of 0.75% per annum).</w:t>
      </w:r>
    </w:p>
    <w:p>
      <w:pPr>
        <w:jc w:val="both"/>
        <w:ind w:left="340" w:hanging="332"/>
        <w:spacing w:after="0" w:line="260"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If the respective series of the January 2010 Tower Revenue Notes, August 2010 Tower Revenue Notes and May 2015 Tower Revenue Notes (collectively, "Tower Revenue Notes") are not paid in full on or prior to an applicable anticipated repayment date, then Excess Cash Flow (as defined in the indenture) of the issuers of such notes will be used to repay principal of the applicable series and class of the Tower Revenue Notes, and additional interest (of an additional approximately 5% per annum) will accrue on the respective Tower Revenue Notes. The January 2010 Tower Revenue Notes consist of two series of notes with principal amounts of $350.0 million and $1.3 billion, having anticipated repayment dates in 2017 and 2020, respectively. The August 2010 Tower Revenue Notes consist of two series of notes with principal amounts of $300.0 million and $1.0 billion, having anticipated repayment dates in 2017 and 2020, respectively. The May 2015 Tower Revenue Notes consist of two series of notes with principal amounts of $300.0 million and $700.0 million, having anticipated repayment dates in 2022 and 2025, respectively.</w:t>
      </w:r>
    </w:p>
    <w:p>
      <w:pPr>
        <w:ind w:left="340" w:hanging="332"/>
        <w:spacing w:after="0" w:line="24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2009 Securitized Notes consist of $71.6 million of principal as of December 31, 2015 that amortizes through 2019, and $70.0 million of principal as of December 31, 2015 that amortizes during the period beginning in 2019 and ending in 2029.</w:t>
      </w:r>
    </w:p>
    <w:p>
      <w:pPr>
        <w:ind w:left="340" w:hanging="332"/>
        <w:spacing w:after="0" w:line="24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Company's capital leases and other obligations relate to land, fiber, vehicles, and other assets and bear interest rates ranging up to 10% and mature in periods ranging from less than one year to approximately 30 years.</w:t>
      </w:r>
    </w:p>
    <w:p>
      <w:pPr>
        <w:ind w:left="340" w:hanging="332"/>
        <w:spacing w:after="0" w:line="255"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Consists of $500.0 million aggregate principal amount of 2.381% secured notes due 2017 and $1.0 billion aggregate principal amount of 3.849% secured notes due 2023 (collectively, "2012 Secured Notes").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credit agreement governing the Company's senior credit facility ("2012 Credit Facility") contains financial maintenance covenants. The Company is currently in compliance with these financial maintenance covenants, and based upon current expectations, the Company believes it will continue to comply with its financial maintenance covenants. In addition, certain of the Company's debt agreements also contain restrictive covenants that place restrictions on CCIC or its subsidiaries and may limit the Company's ability to, among other things, incur additional debt and liens, purchase the Company's securities, make capital expenditures, dispose of assets, undertake transactions with affiliates, make other investments, pay dividends or distribute excess cash flow.</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Bank Debt</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2012, CCOC entered into the 2012 Credit Facility. The 2012 Credit Facility is secured by a pledge of certain equity interests of certain subsidiaries of CCIC, as well as a security interest in CCOC's and certain of its subsidiaries' deposit accounts ($80.0 million as of December 31, 2015) and securities accounts. The 2012 Credit Facility is guaranteed by CCIC and certain of its subsidiaries.</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are highlights of the Company's issuances, refinancings, and other activities related to the 2012 Credit Facility since the beginning of 2013:</w:t>
      </w:r>
    </w:p>
    <w:p>
      <w:pPr>
        <w:spacing w:after="0" w:line="116" w:lineRule="exact"/>
        <w:rPr>
          <w:sz w:val="20"/>
          <w:szCs w:val="20"/>
          <w:color w:val="auto"/>
        </w:rPr>
      </w:pPr>
    </w:p>
    <w:p>
      <w:pPr>
        <w:ind w:left="720" w:hanging="307"/>
        <w:spacing w:after="0"/>
        <w:tabs>
          <w:tab w:leader="none" w:pos="7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2013, the Company:</w:t>
      </w:r>
    </w:p>
    <w:p>
      <w:pPr>
        <w:spacing w:after="0" w:line="130" w:lineRule="exact"/>
        <w:rPr>
          <w:rFonts w:ascii="Arial" w:cs="Arial" w:eastAsia="Arial" w:hAnsi="Arial"/>
          <w:sz w:val="18"/>
          <w:szCs w:val="18"/>
          <w:color w:val="auto"/>
        </w:rPr>
      </w:pPr>
    </w:p>
    <w:p>
      <w:pPr>
        <w:ind w:left="2600" w:hanging="1539"/>
        <w:spacing w:after="0" w:line="277" w:lineRule="auto"/>
        <w:tabs>
          <w:tab w:leader="none" w:pos="1304" w:val="left"/>
        </w:tabs>
        <w:numPr>
          <w:ilvl w:val="2"/>
          <w:numId w:val="61"/>
        </w:numPr>
        <w:rPr>
          <w:rFonts w:ascii="Arial" w:cs="Arial" w:eastAsia="Arial" w:hAnsi="Arial"/>
          <w:sz w:val="18"/>
          <w:szCs w:val="18"/>
          <w:color w:val="auto"/>
        </w:rPr>
      </w:pPr>
      <w:r>
        <w:rPr>
          <w:rFonts w:ascii="Arial" w:cs="Arial" w:eastAsia="Arial" w:hAnsi="Arial"/>
          <w:sz w:val="18"/>
          <w:szCs w:val="18"/>
          <w:color w:val="auto"/>
        </w:rPr>
        <w:t>refinanced the then outstanding Tranche B Term Loans with new loans pursuant to the existing credit agreement in an aggregate principal amount of approximately $1.6 billion,</w:t>
      </w:r>
    </w:p>
    <w:p>
      <w:pPr>
        <w:spacing w:after="0" w:line="62" w:lineRule="exact"/>
        <w:rPr>
          <w:rFonts w:ascii="Arial" w:cs="Arial" w:eastAsia="Arial" w:hAnsi="Arial"/>
          <w:sz w:val="18"/>
          <w:szCs w:val="18"/>
          <w:color w:val="auto"/>
        </w:rPr>
      </w:pPr>
    </w:p>
    <w:p>
      <w:pPr>
        <w:ind w:left="1300" w:hanging="239"/>
        <w:spacing w:after="0"/>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borrowed $800.0 million of incremental tranche B term loans ("Incremental Tranche B Term Loans"),</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borrowed $500.0 million of incremental tranche B-2 term loans ("Incremental Tranche B-2 Term Loans"),</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borrowed $200.0 million of incremental tranche A term loans ("Incremental Tranche A Term Loans"),</w:t>
      </w:r>
    </w:p>
    <w:p>
      <w:pPr>
        <w:spacing w:after="0" w:line="144" w:lineRule="exact"/>
        <w:rPr>
          <w:rFonts w:ascii="Arial" w:cs="Arial" w:eastAsia="Arial" w:hAnsi="Arial"/>
          <w:sz w:val="18"/>
          <w:szCs w:val="18"/>
          <w:color w:val="auto"/>
        </w:rPr>
      </w:pPr>
    </w:p>
    <w:p>
      <w:pPr>
        <w:ind w:left="1360" w:hanging="299"/>
        <w:spacing w:after="0"/>
        <w:tabs>
          <w:tab w:leader="none" w:pos="1360" w:val="left"/>
        </w:tabs>
        <w:numPr>
          <w:ilvl w:val="2"/>
          <w:numId w:val="61"/>
        </w:numPr>
        <w:rPr>
          <w:rFonts w:ascii="Arial" w:cs="Arial" w:eastAsia="Arial" w:hAnsi="Arial"/>
          <w:sz w:val="18"/>
          <w:szCs w:val="18"/>
          <w:color w:val="auto"/>
        </w:rPr>
      </w:pPr>
      <w:r>
        <w:rPr>
          <w:rFonts w:ascii="Arial" w:cs="Arial" w:eastAsia="Arial" w:hAnsi="Arial"/>
          <w:sz w:val="18"/>
          <w:szCs w:val="18"/>
          <w:color w:val="auto"/>
        </w:rPr>
        <w:t>extended the maturity of both the Tranche A Term Loans and the 2012 Revolver,</w:t>
      </w:r>
    </w:p>
    <w:p>
      <w:pPr>
        <w:spacing w:after="0" w:line="130" w:lineRule="exact"/>
        <w:rPr>
          <w:rFonts w:ascii="Arial" w:cs="Arial" w:eastAsia="Arial" w:hAnsi="Arial"/>
          <w:sz w:val="18"/>
          <w:szCs w:val="18"/>
          <w:color w:val="auto"/>
        </w:rPr>
      </w:pPr>
    </w:p>
    <w:p>
      <w:pPr>
        <w:ind w:left="1300" w:right="20" w:hanging="239"/>
        <w:spacing w:after="0" w:line="277" w:lineRule="auto"/>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reduced the interest at a per annum rate under the 2012 Revolver and Tranche A Term Loans to LIBOR plus a credit spread ranging from1.50% to 2.25%, based on CCOC's total net leverage ratio,</w:t>
      </w:r>
    </w:p>
    <w:p>
      <w:pPr>
        <w:spacing w:after="0" w:line="62" w:lineRule="exact"/>
        <w:rPr>
          <w:rFonts w:ascii="Arial" w:cs="Arial" w:eastAsia="Arial" w:hAnsi="Arial"/>
          <w:sz w:val="18"/>
          <w:szCs w:val="18"/>
          <w:color w:val="auto"/>
        </w:rPr>
      </w:pPr>
    </w:p>
    <w:p>
      <w:pPr>
        <w:ind w:left="1300" w:hanging="239"/>
        <w:spacing w:after="0"/>
        <w:tabs>
          <w:tab w:leader="none" w:pos="1300" w:val="left"/>
        </w:tabs>
        <w:numPr>
          <w:ilvl w:val="2"/>
          <w:numId w:val="61"/>
        </w:numPr>
        <w:rPr>
          <w:rFonts w:ascii="Arial" w:cs="Arial" w:eastAsia="Arial" w:hAnsi="Arial"/>
          <w:sz w:val="16"/>
          <w:szCs w:val="16"/>
          <w:color w:val="auto"/>
        </w:rPr>
      </w:pPr>
      <w:r>
        <w:rPr>
          <w:rFonts w:ascii="Arial" w:cs="Arial" w:eastAsia="Arial" w:hAnsi="Arial"/>
          <w:sz w:val="16"/>
          <w:szCs w:val="16"/>
          <w:color w:val="auto"/>
        </w:rPr>
        <w:t>utilized the proceeds of the Incremental Tranche B Term Loans to repay a portion of the amounts outstanding under the 2012 Revolver,</w:t>
      </w:r>
    </w:p>
    <w:p>
      <w:pPr>
        <w:spacing w:after="0" w:line="140" w:lineRule="exact"/>
        <w:rPr>
          <w:rFonts w:ascii="Arial" w:cs="Arial" w:eastAsia="Arial" w:hAnsi="Arial"/>
          <w:sz w:val="16"/>
          <w:szCs w:val="16"/>
          <w:color w:val="auto"/>
        </w:rPr>
      </w:pPr>
    </w:p>
    <w:p>
      <w:pPr>
        <w:ind w:left="1300" w:hanging="239"/>
        <w:spacing w:after="0"/>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utilized the borrowings under the 2012 Revolver to partially fund the AT&amp;T Acquisition (see note 4), and</w:t>
      </w:r>
    </w:p>
    <w:p>
      <w:pPr>
        <w:spacing w:after="0" w:line="117" w:lineRule="exact"/>
        <w:rPr>
          <w:rFonts w:ascii="Arial" w:cs="Arial" w:eastAsia="Arial" w:hAnsi="Arial"/>
          <w:sz w:val="18"/>
          <w:szCs w:val="18"/>
          <w:color w:val="auto"/>
        </w:rPr>
      </w:pPr>
    </w:p>
    <w:p>
      <w:pPr>
        <w:ind w:left="1300" w:hanging="239"/>
        <w:spacing w:after="0" w:line="277" w:lineRule="auto"/>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utilized the proceeds of the Incremental Tranche B-2 Term Loans and the Incremental Tranche A Term Loans to repay a portion of the amounts then outstanding under the 2012 Revolver.</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2014, the Company amended its 2012 Credit Facility to extend the maturity date on a portion of the Tranche B Term Loans, including Incremental Tranche B Term Loans, to January 2021.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2015, the Company:</w:t>
      </w:r>
    </w:p>
    <w:p>
      <w:pPr>
        <w:spacing w:after="0" w:line="63" w:lineRule="exact"/>
        <w:rPr>
          <w:rFonts w:ascii="Arial" w:cs="Arial" w:eastAsia="Arial" w:hAnsi="Arial"/>
          <w:sz w:val="18"/>
          <w:szCs w:val="18"/>
          <w:color w:val="auto"/>
        </w:rPr>
      </w:pPr>
    </w:p>
    <w:p>
      <w:pPr>
        <w:ind w:left="1300" w:right="20" w:hanging="239"/>
        <w:spacing w:after="0" w:line="258" w:lineRule="auto"/>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amended its 2012 Credit Facility and increased the capacity of the 2012 Revolver to an aggregate revolving commitment of approximately $2.3 billion,</w:t>
      </w:r>
    </w:p>
    <w:p>
      <w:pPr>
        <w:spacing w:after="0" w:line="1" w:lineRule="exact"/>
        <w:rPr>
          <w:rFonts w:ascii="Arial" w:cs="Arial" w:eastAsia="Arial" w:hAnsi="Arial"/>
          <w:sz w:val="18"/>
          <w:szCs w:val="18"/>
          <w:color w:val="auto"/>
        </w:rPr>
      </w:pPr>
    </w:p>
    <w:p>
      <w:pPr>
        <w:ind w:left="1300" w:hanging="239"/>
        <w:spacing w:after="0"/>
        <w:tabs>
          <w:tab w:leader="none" w:pos="1300" w:val="left"/>
        </w:tabs>
        <w:numPr>
          <w:ilvl w:val="2"/>
          <w:numId w:val="61"/>
        </w:numPr>
        <w:rPr>
          <w:rFonts w:ascii="Arial" w:cs="Arial" w:eastAsia="Arial" w:hAnsi="Arial"/>
          <w:sz w:val="17"/>
          <w:szCs w:val="17"/>
          <w:color w:val="auto"/>
        </w:rPr>
      </w:pPr>
      <w:r>
        <w:rPr>
          <w:rFonts w:ascii="Arial" w:cs="Arial" w:eastAsia="Arial" w:hAnsi="Arial"/>
          <w:sz w:val="17"/>
          <w:szCs w:val="17"/>
          <w:color w:val="auto"/>
        </w:rPr>
        <w:t>repaid the portion of its Tranche B Term Loans that were due January 2019, which had an outstanding balance of $564.1 million, and</w:t>
      </w:r>
    </w:p>
    <w:p>
      <w:pPr>
        <w:spacing w:after="0" w:line="20" w:lineRule="exact"/>
        <w:rPr>
          <w:rFonts w:ascii="Arial" w:cs="Arial" w:eastAsia="Arial" w:hAnsi="Arial"/>
          <w:sz w:val="17"/>
          <w:szCs w:val="17"/>
          <w:color w:val="auto"/>
        </w:rPr>
      </w:pPr>
    </w:p>
    <w:p>
      <w:pPr>
        <w:ind w:left="1300" w:hanging="239"/>
        <w:spacing w:after="0"/>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utilized borrowings under the 2012 Revolver of $835.0 million, along with cash on hand, to fund the Sunesys Acquisition.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Securitized Debt</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Tower Revenue Notes and the 2009 Securitized Notes (collectively, "Securitized Debt") are obligations of special purpose entities and their direct and indirect subsidiaries (each an "issuer"), all of which are wholly-owned, indirect subsidiaries of CCIC. The Tower Revenue Notes and 2009 Securitized Notes are governed by separate indentures. The January 2010 Tower Revenue Notes, August 2010 Tower Revenue Notes, and May 2015 Tower Revenue Notes are governed by one indenture and consist of multiple series of notes, each with its own anticipated repayment date.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net proceeds of the January 2010 Tower Revenue Notes and August 2010 Tower Revenue Notes were primarily used to repay the portion of the 2005 Tower Revenue Notes not previously purchased and 2006 Tower Revenue Notes not previously purchased, respectively. In April 2014, the Company utilized a portion of the net proceeds from the 4.875% Senior Notes (as defined below) offering to repay $300.0 million of the January 2010 Tower Revenue Notes with an anticipated repayment date of January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net proceeds of the May 2015 Tower Revenue Notes, together with proceeds received from our sale of CCAL, were primarily used to (1) to repay $250.0 million aggregate principal amount of August 2010 Tower Revenue Notes with an anticipated repayment date of August 2015, (2) to repay all of the previously outstanding WCP Securitized Notes, (3) to repay portions of outstanding borrowings under its 2012 Credit Facility, and (4) to pay related fees and expenses.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Securitized Debt is paid solely from the cash flows generated by the operation of the towers held directly and indirectly by the issuers of the respective Securitized Debt. The Securitized Debt is secured by, among other things, (1) a security interest in substantially all of the applicable issuers' assignable personal property, (2) a pledge of the equity interests in each applicable issuer, and (3) a security interest in the applicable issuers' leases with tenants to lease tower space (space licenses) . The governing instruments of two indirect subsidiaries ("Crown Atlantic" and "Crown GT") of the issuers of the Tower Revenue Notes generally prevent them from issuing debt and granting liens on their assets without the approval of a subsidiary of Verizon Communications. Consequently, while distributions paid by Crown Atlantic and Crown GT will service the Tower Revenue Notes, the Tower Revenue Notes are not obligations of, nor are the Tower Revenue Notes secured by the cash flows or any other assets of, Crown Atlantic and Crown GT. As of December 31, 2015, the Securitized Debt was collateralized with personal property and equipment with an aggregate net book value of approximately $1.3 billion, exclusive of Crown Atlantic and Crown GT personal property and equipment.</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excess cash flows from the issuers of the Securitized Debt, after the payment of principal, interest, reserves, expenses, and management fees are distributed to the Company in accordance with the terms of the indentures. If the Debt Service Coverage Ratio ("DSCR") (as defined in the applicable governing loan agreement) as of the end of any calendar quarter falls to a certain level, then all excess cash flow of the issuers of the applicable debt instrument will be deposited into a reserve account instead of being released to the Company. The funds in the reserve account will not be released to the Company until the DSCR exceeds a certain level for two consecutive calendar quarters. If the DSCR falls below a certain level as of the end of any calendar quarter, then all cash on deposit in the reserve account along with future excess cash flows of the issuers will be applied to prepay the debt with applicable prepayment consideration.</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may repay the Tower Revenue Notes or the 2009 Securitized Notes in whole or in part at any time after the second anniversary of the applicable issuance date, provided such prepayment is accompanied by any applicable prepayment consideration. The Securitized Debt has covenants and restrictions customary for rated securitizations, including provisions prohibiting the issuers from incurring additional indebtedness or further encumbering their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Bonds—Senior Notes. </w:t>
      </w:r>
      <w:r>
        <w:rPr>
          <w:rFonts w:ascii="Arial" w:cs="Arial" w:eastAsia="Arial" w:hAnsi="Arial"/>
          <w:sz w:val="18"/>
          <w:szCs w:val="18"/>
          <w:color w:val="auto"/>
        </w:rPr>
        <w:t>In April 2014, CCIC issued $850.0 million of senior notes due in April 2022 ("4.875% Senior Notes"). The net proceeds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were approximately $839 million, after the deduction of associated fees. The Company utilized the net proceeds from the 4.875% Senior Notes offering (1) to repay $300.0 million of the January 2010 Tower Revenue Notes with an anticipated repayment date of January 2015 and (2) to redeem all of the previously outstanding 7.125% Senior Notes.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5.25% senior notes due 2023 ("5.25% Senior Notes" and, with the 4.875% Senior Notes, "Senior Notes") are general obligations of CCIC, which rank equally with all existing and future senior debt of CCIC. The Senior Notes are effectively subordinated to all liabilities (including trade payables) of each subsidiary of CCIC and rank pari passu with the other respective high yield bonds of CCIC. The Company used the net proceeds from the 5.25% Senior Notes offering to partially fund the T-Mobile Acquisition.</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Senior Notes contain restrictive covenants with which CCIC and its restricted subsidiaries must comply, subject to a number of exceptions or qualifications, including restrictions on its ability to incur incremental debt, issue preferred stock, guarantee debt, pay dividends, repurchase its capital stock, use assets as security in other transactions, sell assets or merge with or into other companies, or make certain investments. Certain of these restrictions are not applicable if there is no event of default and if the ratio of CCIC's Consolidated Indebtedness (as defined in the respective Senior Notes indenture) to its Adjusted Consolidated Cash Flows (as defined in the respective Senior Notes indenture) is less than or equal to 7.0 to 1.0. The Senior Notes do not contain any financial maintenance covenants.</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may redeem the 4.875% Senior Notes or the 5.25% Senior Notes in whole or in part at any time at a price equal to 100% of the principal amount to be redeemed, plus a make whole premium, and accrued and unpaid interest if any.</w:t>
      </w:r>
    </w:p>
    <w:p>
      <w:pPr>
        <w:spacing w:after="0" w:line="11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Bonds—Secured Notes</w:t>
      </w:r>
      <w:r>
        <w:rPr>
          <w:rFonts w:ascii="Arial" w:cs="Arial" w:eastAsia="Arial" w:hAnsi="Arial"/>
          <w:sz w:val="16"/>
          <w:szCs w:val="16"/>
          <w:color w:val="auto"/>
        </w:rPr>
        <w:t>. The 2012 Secured Notes consist of $500 million aggregate principal amount of 2.381% secured notes due 2017 and $1.0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3.849% secured notes due 2023. The 2012 Secured Notes were issued and are guaranteed by the same subsidiaries of CCIC that had previously issued and guaranteed the 7.75% Secured Notes. The 2012 Secured Notes are secured by a pledge of the equity interests of such subsidiaries. The 2012 Secured Notes are not guaranteed by and are not obligations of CCIC or any of its subsidiaries other than the issuers and guarantors of the 2012 Secured Notes. The 2012 Secured Notes will be paid solely from the cash flows generated from operations of the towers held directly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indirectly by the issuers and the guarantors of such notes. The Company used the net proceeds from the issuance of the 2012 Secured Notes to repurchase and redeem the previously outstanding 7.75% Secured Notes and a portion of the previously outstanding 9% Senior Notes. The 2012 Secured Notes may be redeemed at any time at a price equal to 100% of the principal amount, plus a make whole premium, and accrued and unpaid interest, if any.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Previously Outstanding Indebtedness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Securitized Debt. </w:t>
      </w:r>
      <w:r>
        <w:rPr>
          <w:rFonts w:ascii="Arial" w:cs="Arial" w:eastAsia="Arial" w:hAnsi="Arial"/>
          <w:sz w:val="18"/>
          <w:szCs w:val="18"/>
          <w:color w:val="auto"/>
        </w:rPr>
        <w:t>See above for a discussion of (1) the April 2014 repayment of $300.0 million of the January 2010 Tower Revenue Notes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repayment date of January 2015, and (2) the May 2015 repayment of $250.0 million of the August 2010 Tower Revenue Notes with an anticipated repayment date of August 2015 and (3) all of the previously outstanding WCP Securitized Notes.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Bonds—Senior Notes. </w:t>
      </w:r>
      <w:r>
        <w:rPr>
          <w:rFonts w:ascii="Arial" w:cs="Arial" w:eastAsia="Arial" w:hAnsi="Arial"/>
          <w:sz w:val="18"/>
          <w:szCs w:val="18"/>
          <w:color w:val="auto"/>
        </w:rPr>
        <w:t>In May 2014, CCIC redeemed approximately $500.0 million aggregate principal amount of its 7.125% Senior Notes at a price</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100% of the principal amount of the 7.125% senior notes redeemed, plus a make-whole premium, and accrued and unpaid interest. The Company utilized a portion of the net proceeds from the 4.875% Senior Notes offering, together with cash on hand, to redeem such previously outstanding 7.125% Senior Notes.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Bonds—Secured Notes. </w:t>
      </w:r>
      <w:r>
        <w:rPr>
          <w:rFonts w:ascii="Arial" w:cs="Arial" w:eastAsia="Arial" w:hAnsi="Arial"/>
          <w:sz w:val="18"/>
          <w:szCs w:val="18"/>
          <w:color w:val="auto"/>
        </w:rPr>
        <w:t>In December 2012, the Company purchased approximately $670.6 million aggregate principal amount of the 7.75%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validly tendered on or prior to the expiration date. In January 2013, all of the remaining then outstanding 7.75% Secured Notes (approximately $294.4 million aggregate principal amount) were redeemed. The purchase and redemption of the 7.75% Secured Notes was funded by the issuance of the 2012 Secured Notes.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Maturities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following are the scheduled contractual maturities of the total debt or other long-term obligations outstanding at December 31, 2015. These maturities reflect contractual maturity dates and do not consider the principal payments that will commence following the anticipated repayment dates on the Tower Revenue Notes. If the Tower Revenue Notes are not paid in full on or prior to their respective anticipated repayment dates, as applicable, then the Excess Cash Flow (as defined in the indenture) of the issuers of such notes will be used to repay principal of the applicable series and class of the Tower Revenue Notes, and additional interest (of an additional approximately 5% per annum) will accrue on the Tower Revenue Notes. See also note 19.</w:t>
      </w:r>
    </w:p>
    <w:p>
      <w:pPr>
        <w:spacing w:after="0" w:line="325"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Years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2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8"/>
              </w:rPr>
              <w:t>Total Debt and</w:t>
            </w:r>
          </w:p>
        </w:tc>
      </w:tr>
      <w:tr>
        <w:trPr>
          <w:trHeight w:val="135"/>
        </w:trPr>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Total Cash</w:t>
            </w:r>
          </w:p>
        </w:tc>
        <w:tc>
          <w:tcPr>
            <w:tcW w:w="11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Net Unamortized</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Other Obligations</w:t>
            </w:r>
          </w:p>
        </w:tc>
      </w:tr>
      <w:tr>
        <w:trPr>
          <w:trHeight w:val="174"/>
        </w:trPr>
        <w:tc>
          <w:tcPr>
            <w:tcW w:w="126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920" w:type="dxa"/>
            <w:vAlign w:val="bottom"/>
          </w:tcPr>
          <w:p>
            <w:pPr>
              <w:jc w:val="right"/>
              <w:ind w:right="268"/>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6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060" w:type="dxa"/>
            <w:vAlign w:val="bottom"/>
          </w:tcPr>
          <w:p>
            <w:pPr>
              <w:jc w:val="right"/>
              <w:ind w:right="328"/>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0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Thereafter</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Obligations</w:t>
            </w:r>
          </w:p>
        </w:tc>
        <w:tc>
          <w:tcPr>
            <w:tcW w:w="1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Discounts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8"/>
              </w:rPr>
              <w:t>Outstanding</w:t>
            </w:r>
          </w:p>
        </w:tc>
      </w:tr>
      <w:tr>
        <w:trPr>
          <w:trHeight w:val="206"/>
        </w:trPr>
        <w:tc>
          <w:tcPr>
            <w:tcW w:w="1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Scheduled</w:t>
            </w: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03"/>
        </w:trPr>
        <w:tc>
          <w:tcPr>
            <w:tcW w:w="1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contractual</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6"/>
        </w:trPr>
        <w:tc>
          <w:tcPr>
            <w:tcW w:w="1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maturities</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  107,075</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  603,316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99,855</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  1,713,463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47,464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9,681,543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  12,252,716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  12,249,238</w:t>
            </w:r>
          </w:p>
        </w:tc>
      </w:tr>
      <w:tr>
        <w:trPr>
          <w:trHeight w:val="33"/>
        </w:trPr>
        <w:tc>
          <w:tcPr>
            <w:tcW w:w="1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Purchases and Redemptions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purchases and redemptions of debt during the years ended December 31, 2015, 2014, and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3"/>
              </w:rPr>
              <w:t>Year Ending December 31, 2015</w:t>
            </w:r>
          </w:p>
        </w:tc>
        <w:tc>
          <w:tcPr>
            <w:tcW w:w="1360" w:type="dxa"/>
            <w:vAlign w:val="bottom"/>
            <w:tcBorders>
              <w:bottom w:val="single" w:sz="8" w:color="auto"/>
            </w:tcBorders>
          </w:tcPr>
          <w:p>
            <w:pPr>
              <w:spacing w:after="0"/>
              <w:rPr>
                <w:sz w:val="16"/>
                <w:szCs w:val="16"/>
                <w:color w:val="auto"/>
              </w:rPr>
            </w:pPr>
          </w:p>
        </w:tc>
      </w:tr>
      <w:tr>
        <w:trPr>
          <w:trHeight w:val="264"/>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80"/>
              <w:spacing w:after="0"/>
              <w:rPr>
                <w:sz w:val="20"/>
                <w:szCs w:val="20"/>
                <w:color w:val="auto"/>
              </w:rPr>
            </w:pPr>
            <w:r>
              <w:rPr>
                <w:rFonts w:ascii="Arial" w:cs="Arial" w:eastAsia="Arial" w:hAnsi="Arial"/>
                <w:sz w:val="14"/>
                <w:szCs w:val="14"/>
                <w:b w:val="1"/>
                <w:bCs w:val="1"/>
                <w:color w:val="auto"/>
                <w:w w:val="98"/>
              </w:rPr>
              <w:t>Principal Amount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Cash Paid</w:t>
            </w:r>
            <w:r>
              <w:rPr>
                <w:rFonts w:ascii="Arial" w:cs="Arial" w:eastAsia="Arial" w:hAnsi="Arial"/>
                <w:sz w:val="8"/>
                <w:szCs w:val="8"/>
                <w:b w:val="1"/>
                <w:bCs w:val="1"/>
                <w:color w:val="auto"/>
                <w:w w:val="92"/>
              </w:rPr>
              <w:t>(a)</w:t>
            </w:r>
          </w:p>
        </w:tc>
        <w:tc>
          <w:tcPr>
            <w:tcW w:w="220" w:type="dxa"/>
            <w:vAlign w:val="bottom"/>
          </w:tcPr>
          <w:p>
            <w:pPr>
              <w:spacing w:after="0"/>
              <w:rPr>
                <w:sz w:val="22"/>
                <w:szCs w:val="22"/>
                <w:color w:val="auto"/>
              </w:rPr>
            </w:pPr>
          </w:p>
        </w:tc>
        <w:tc>
          <w:tcPr>
            <w:tcW w:w="1360" w:type="dxa"/>
            <w:vAlign w:val="bottom"/>
          </w:tcPr>
          <w:p>
            <w:pPr>
              <w:jc w:val="right"/>
              <w:ind w:right="240"/>
              <w:spacing w:after="0"/>
              <w:rPr>
                <w:sz w:val="20"/>
                <w:szCs w:val="20"/>
                <w:color w:val="auto"/>
              </w:rPr>
            </w:pPr>
            <w:r>
              <w:rPr>
                <w:rFonts w:ascii="Arial" w:cs="Arial" w:eastAsia="Arial" w:hAnsi="Arial"/>
                <w:sz w:val="14"/>
                <w:szCs w:val="14"/>
                <w:b w:val="1"/>
                <w:bCs w:val="1"/>
                <w:color w:val="auto"/>
                <w:w w:val="96"/>
              </w:rPr>
              <w:t>Gains (losses)</w:t>
            </w:r>
            <w:r>
              <w:rPr>
                <w:rFonts w:ascii="Arial" w:cs="Arial" w:eastAsia="Arial" w:hAnsi="Arial"/>
                <w:sz w:val="8"/>
                <w:szCs w:val="8"/>
                <w:b w:val="1"/>
                <w:bCs w:val="1"/>
                <w:color w:val="auto"/>
                <w:w w:val="96"/>
              </w:rPr>
              <w:t>(b)</w:t>
            </w:r>
          </w:p>
        </w:tc>
      </w:tr>
      <w:tr>
        <w:trPr>
          <w:trHeight w:val="25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August 2010 Tower Revenue Notes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WCP Securitized Notes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252,830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252,830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2,105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Tranche B 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564,137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(6,127)</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2,370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1,069,361</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1,069,337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(4,157)</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Inclusive of $4.2 million related to the net write off of deferred financing costs, premiums and discounts.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3"/>
              </w:rPr>
              <w:t>Year Ending December 31, 2014</w:t>
            </w:r>
          </w:p>
        </w:tc>
        <w:tc>
          <w:tcPr>
            <w:tcW w:w="1360" w:type="dxa"/>
            <w:vAlign w:val="bottom"/>
            <w:tcBorders>
              <w:bottom w:val="single" w:sz="8" w:color="auto"/>
            </w:tcBorders>
          </w:tcPr>
          <w:p>
            <w:pPr>
              <w:spacing w:after="0"/>
              <w:rPr>
                <w:sz w:val="16"/>
                <w:szCs w:val="16"/>
                <w:color w:val="auto"/>
              </w:rPr>
            </w:pPr>
          </w:p>
        </w:tc>
      </w:tr>
      <w:tr>
        <w:trPr>
          <w:trHeight w:val="264"/>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81"/>
              <w:spacing w:after="0"/>
              <w:rPr>
                <w:sz w:val="20"/>
                <w:szCs w:val="20"/>
                <w:color w:val="auto"/>
              </w:rPr>
            </w:pPr>
            <w:r>
              <w:rPr>
                <w:rFonts w:ascii="Arial" w:cs="Arial" w:eastAsia="Arial" w:hAnsi="Arial"/>
                <w:sz w:val="14"/>
                <w:szCs w:val="14"/>
                <w:b w:val="1"/>
                <w:bCs w:val="1"/>
                <w:color w:val="auto"/>
                <w:w w:val="98"/>
              </w:rPr>
              <w:t>Principal Amount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Cash Paid</w:t>
            </w:r>
            <w:r>
              <w:rPr>
                <w:rFonts w:ascii="Arial" w:cs="Arial" w:eastAsia="Arial" w:hAnsi="Arial"/>
                <w:sz w:val="8"/>
                <w:szCs w:val="8"/>
                <w:b w:val="1"/>
                <w:bCs w:val="1"/>
                <w:color w:val="auto"/>
                <w:w w:val="92"/>
              </w:rPr>
              <w:t>(a)</w:t>
            </w:r>
          </w:p>
        </w:tc>
        <w:tc>
          <w:tcPr>
            <w:tcW w:w="220" w:type="dxa"/>
            <w:vAlign w:val="bottom"/>
          </w:tcPr>
          <w:p>
            <w:pPr>
              <w:spacing w:after="0"/>
              <w:rPr>
                <w:sz w:val="22"/>
                <w:szCs w:val="22"/>
                <w:color w:val="auto"/>
              </w:rPr>
            </w:pPr>
          </w:p>
        </w:tc>
        <w:tc>
          <w:tcPr>
            <w:tcW w:w="1360" w:type="dxa"/>
            <w:vAlign w:val="bottom"/>
          </w:tcPr>
          <w:p>
            <w:pPr>
              <w:jc w:val="right"/>
              <w:ind w:right="241"/>
              <w:spacing w:after="0"/>
              <w:rPr>
                <w:sz w:val="20"/>
                <w:szCs w:val="20"/>
                <w:color w:val="auto"/>
              </w:rPr>
            </w:pPr>
            <w:r>
              <w:rPr>
                <w:rFonts w:ascii="Arial" w:cs="Arial" w:eastAsia="Arial" w:hAnsi="Arial"/>
                <w:sz w:val="14"/>
                <w:szCs w:val="14"/>
                <w:b w:val="1"/>
                <w:bCs w:val="1"/>
                <w:color w:val="auto"/>
                <w:w w:val="96"/>
              </w:rPr>
              <w:t>Gains (losses)</w:t>
            </w:r>
            <w:r>
              <w:rPr>
                <w:rFonts w:ascii="Arial" w:cs="Arial" w:eastAsia="Arial" w:hAnsi="Arial"/>
                <w:sz w:val="8"/>
                <w:szCs w:val="8"/>
                <w:b w:val="1"/>
                <w:bCs w:val="1"/>
                <w:color w:val="auto"/>
                <w:w w:val="96"/>
              </w:rPr>
              <w:t>(b)</w:t>
            </w:r>
          </w:p>
        </w:tc>
      </w:tr>
      <w:tr>
        <w:trPr>
          <w:trHeight w:val="25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January 2010 Tower Revenue Notes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302,990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7.125% Senior Notes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533,909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(40,889)</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836,899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(44,629)</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losses predominately relate to cash losses, including make whole payments and are inclusive of $7.7 million related to the write off of deferred financing costs and discounts.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3"/>
              </w:rPr>
              <w:t>Year Ending December 31, 2013</w:t>
            </w:r>
          </w:p>
        </w:tc>
        <w:tc>
          <w:tcPr>
            <w:tcW w:w="1360" w:type="dxa"/>
            <w:vAlign w:val="bottom"/>
            <w:tcBorders>
              <w:bottom w:val="single" w:sz="8" w:color="auto"/>
            </w:tcBorders>
          </w:tcPr>
          <w:p>
            <w:pPr>
              <w:spacing w:after="0"/>
              <w:rPr>
                <w:sz w:val="16"/>
                <w:szCs w:val="16"/>
                <w:color w:val="auto"/>
              </w:rPr>
            </w:pPr>
          </w:p>
        </w:tc>
      </w:tr>
      <w:tr>
        <w:trPr>
          <w:trHeight w:val="264"/>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80"/>
              <w:spacing w:after="0"/>
              <w:rPr>
                <w:sz w:val="20"/>
                <w:szCs w:val="20"/>
                <w:color w:val="auto"/>
              </w:rPr>
            </w:pPr>
            <w:r>
              <w:rPr>
                <w:rFonts w:ascii="Arial" w:cs="Arial" w:eastAsia="Arial" w:hAnsi="Arial"/>
                <w:sz w:val="14"/>
                <w:szCs w:val="14"/>
                <w:b w:val="1"/>
                <w:bCs w:val="1"/>
                <w:color w:val="auto"/>
                <w:w w:val="98"/>
              </w:rPr>
              <w:t>Principal Amount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Cash Paid</w:t>
            </w:r>
            <w:r>
              <w:rPr>
                <w:rFonts w:ascii="Arial" w:cs="Arial" w:eastAsia="Arial" w:hAnsi="Arial"/>
                <w:sz w:val="8"/>
                <w:szCs w:val="8"/>
                <w:b w:val="1"/>
                <w:bCs w:val="1"/>
                <w:color w:val="auto"/>
                <w:w w:val="92"/>
              </w:rPr>
              <w:t>(a)</w:t>
            </w:r>
          </w:p>
        </w:tc>
        <w:tc>
          <w:tcPr>
            <w:tcW w:w="220" w:type="dxa"/>
            <w:vAlign w:val="bottom"/>
          </w:tcPr>
          <w:p>
            <w:pPr>
              <w:spacing w:after="0"/>
              <w:rPr>
                <w:sz w:val="22"/>
                <w:szCs w:val="22"/>
                <w:color w:val="auto"/>
              </w:rPr>
            </w:pPr>
          </w:p>
        </w:tc>
        <w:tc>
          <w:tcPr>
            <w:tcW w:w="1360" w:type="dxa"/>
            <w:vAlign w:val="bottom"/>
          </w:tcPr>
          <w:p>
            <w:pPr>
              <w:jc w:val="right"/>
              <w:ind w:right="240"/>
              <w:spacing w:after="0"/>
              <w:rPr>
                <w:sz w:val="20"/>
                <w:szCs w:val="20"/>
                <w:color w:val="auto"/>
              </w:rPr>
            </w:pPr>
            <w:r>
              <w:rPr>
                <w:rFonts w:ascii="Arial" w:cs="Arial" w:eastAsia="Arial" w:hAnsi="Arial"/>
                <w:sz w:val="14"/>
                <w:szCs w:val="14"/>
                <w:b w:val="1"/>
                <w:bCs w:val="1"/>
                <w:color w:val="auto"/>
                <w:w w:val="96"/>
              </w:rPr>
              <w:t>Gains (losses)</w:t>
            </w:r>
            <w:r>
              <w:rPr>
                <w:rFonts w:ascii="Arial" w:cs="Arial" w:eastAsia="Arial" w:hAnsi="Arial"/>
                <w:sz w:val="8"/>
                <w:szCs w:val="8"/>
                <w:b w:val="1"/>
                <w:bCs w:val="1"/>
                <w:color w:val="auto"/>
                <w:w w:val="96"/>
              </w:rPr>
              <w:t>(c)</w:t>
            </w:r>
          </w:p>
        </w:tc>
      </w:tr>
      <w:tr>
        <w:trPr>
          <w:trHeight w:val="25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9% Senior Notes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314,170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332,045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(17,894)</w:t>
            </w:r>
          </w:p>
        </w:tc>
      </w:tr>
      <w:tr>
        <w:trPr>
          <w:trHeight w:val="270"/>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7.75% Secured Notes</w:t>
            </w:r>
            <w:r>
              <w:rPr>
                <w:rFonts w:ascii="Arial" w:cs="Arial" w:eastAsia="Arial" w:hAnsi="Arial"/>
                <w:sz w:val="21"/>
                <w:szCs w:val="21"/>
                <w:color w:val="auto"/>
                <w:vertAlign w:val="superscript"/>
              </w:rPr>
              <w:t>(b)</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294,362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312,465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(18,103)</w:t>
            </w: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5.25%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Tranche A Term Loans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87,489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87,489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Tranche B 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726,992</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762,970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(37,127)</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redemption of the 7.75% Secured Notes was funded by the release of restricted cash.</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losses predominately relate to cash losses, including make whole payments.</w:t>
      </w:r>
    </w:p>
    <w:p>
      <w:pPr>
        <w:spacing w:after="0" w:line="368"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Swaps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Interest Rate Swaps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had previously entered into interest rate swaps to manage or reduce its interest rate risk, including the use of (1) forward-starting interest rate swaps to hedge its exposure to variability in future cash flows attributable to changes in LIBOR on anticipated financings, including refinancings and potential future borrowings or (2) interest rate swaps to hedge the interest rate variability on a portion of the Company's floating rate debt. The Company does not enter into interest rate swaps for speculative or trading purposes. As of December 31, 2015, the Company does not have any interest rate swaps outstanding. For the year ended December 31, 2013, the loss reclassified into earnings from accumulated comprehensive income (loss) was inclusive of $17.1 million of income tax provision.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Currency Swaps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May 2015, the Company entered into two foreign currency swaps to manage and reduce its foreign currency risk related to its sale of CCAL (see note 3). The Company does not enter into foreign currency swaps for speculative or trading purposes. The foreign currency swaps were originally comprised of the following:</w:t>
      </w: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Item Swapped</w:t>
            </w:r>
          </w:p>
        </w:tc>
        <w:tc>
          <w:tcPr>
            <w:tcW w:w="120" w:type="dxa"/>
            <w:vAlign w:val="bottom"/>
            <w:vMerge w:val="restart"/>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w:t>
            </w: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Forward Rate</w:t>
            </w:r>
          </w:p>
        </w:tc>
        <w:tc>
          <w:tcPr>
            <w:tcW w:w="120" w:type="dxa"/>
            <w:vAlign w:val="bottom"/>
            <w:vMerge w:val="restart"/>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Start Date</w:t>
            </w:r>
          </w:p>
        </w:tc>
        <w:tc>
          <w:tcPr>
            <w:tcW w:w="100" w:type="dxa"/>
            <w:vAlign w:val="bottom"/>
            <w:vMerge w:val="restart"/>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End Date</w:t>
            </w:r>
          </w:p>
        </w:tc>
        <w:tc>
          <w:tcPr>
            <w:tcW w:w="120" w:type="dxa"/>
            <w:vAlign w:val="bottom"/>
            <w:vMerge w:val="restart"/>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Pay Amount</w:t>
            </w:r>
          </w:p>
        </w:tc>
        <w:tc>
          <w:tcPr>
            <w:tcW w:w="120" w:type="dxa"/>
            <w:vAlign w:val="bottom"/>
            <w:vMerge w:val="restart"/>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Receive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1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May 2015 cash receipt from sale</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120"/>
              <w:spacing w:after="0" w:line="157" w:lineRule="exact"/>
              <w:rPr>
                <w:sz w:val="20"/>
                <w:szCs w:val="20"/>
                <w:color w:val="auto"/>
              </w:rPr>
            </w:pPr>
            <w:r>
              <w:rPr>
                <w:rFonts w:ascii="Arial" w:cs="Arial" w:eastAsia="Arial" w:hAnsi="Arial"/>
                <w:sz w:val="14"/>
                <w:szCs w:val="14"/>
                <w:color w:val="auto"/>
                <w:w w:val="93"/>
              </w:rPr>
              <w:t>Australian</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 CCAL</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A$1,400,000</w:t>
            </w: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0.8072</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May 2015</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June 2015</w:t>
            </w: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Dollar</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US Dollar</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57"/>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3"/>
              </w:rPr>
              <w:t>Australian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Installment payment from Buyer</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A$155,000</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0.79835</w:t>
            </w: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May 2015</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January 2016</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rPr>
              <w:t>Dollar</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US Dollar</w:t>
            </w: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$10,749</w:t>
            </w:r>
          </w:p>
        </w:tc>
        <w:tc>
          <w:tcPr>
            <w:tcW w:w="44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93345</wp:posOffset>
            </wp:positionV>
            <wp:extent cx="914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35" w:lineRule="exact"/>
        <w:rPr>
          <w:sz w:val="20"/>
          <w:szCs w:val="20"/>
          <w:color w:val="auto"/>
        </w:rPr>
      </w:pPr>
    </w:p>
    <w:p>
      <w:pPr>
        <w:ind w:left="340" w:hanging="332"/>
        <w:spacing w:after="0" w:line="250"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conjunction with closing the CCAL sale on May 28, 2015, the Company cash settled the swap with a notional value of Australian dollar $1.4 billion and recorded a gain on foreign currency swaps of $54.5 million, which is included as a component of "other income (expense)" on the Company's consolidated statement of operations.</w:t>
      </w:r>
    </w:p>
    <w:p>
      <w:pPr>
        <w:jc w:val="both"/>
        <w:ind w:left="340" w:hanging="332"/>
        <w:spacing w:after="0" w:line="24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December 31, 2015, the Company marked-to-market the swap with a notional value of Australian dollar $155 million and recorded (1) an asset within "other current assets" on the Company's consolidated balance sheet and (2) a corresponding gain on foreign currency swaps, which is included as a component of "other income (expense)" on the Company's consolidated statement of operations. In January 2016, the previously outstanding swap related to the installment payment received from the Buyer was settled.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total, the Company recorded a gain on foreign currency swaps of $65.2 million for the year ended December 31, 2015, respectively. This gain is included as a component of "other income (expense)" on the Company's consolidated statement of operations.</w:t>
      </w:r>
    </w:p>
    <w:p>
      <w:pPr>
        <w:spacing w:after="0" w:line="329" w:lineRule="exact"/>
        <w:rPr>
          <w:sz w:val="20"/>
          <w:szCs w:val="20"/>
          <w:color w:val="auto"/>
        </w:rPr>
      </w:pPr>
    </w:p>
    <w:p>
      <w:pPr>
        <w:ind w:left="420" w:hanging="412"/>
        <w:spacing w:after="0"/>
        <w:tabs>
          <w:tab w:leader="none" w:pos="4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shows the estimated fair values of the Company's financial instruments, along with the carrying amounts of the related assets (liabilities). See also note 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b w:val="1"/>
                <w:bCs w:val="1"/>
                <w:color w:val="auto"/>
              </w:rPr>
              <w:t>December 31, 2014</w:t>
            </w:r>
          </w:p>
        </w:tc>
      </w:tr>
      <w:tr>
        <w:trPr>
          <w:trHeight w:val="153"/>
        </w:trPr>
        <w:tc>
          <w:tcPr>
            <w:tcW w:w="504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Level in Fair</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92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04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 Hierarchy</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920" w:type="dxa"/>
            <w:vAlign w:val="bottom"/>
          </w:tcPr>
          <w:p>
            <w:pPr>
              <w:jc w:val="right"/>
              <w:ind w:right="302"/>
              <w:spacing w:after="0"/>
              <w:rPr>
                <w:sz w:val="20"/>
                <w:szCs w:val="20"/>
                <w:color w:val="auto"/>
              </w:rPr>
            </w:pPr>
            <w:r>
              <w:rPr>
                <w:rFonts w:ascii="Arial" w:cs="Arial" w:eastAsia="Arial" w:hAnsi="Arial"/>
                <w:sz w:val="14"/>
                <w:szCs w:val="14"/>
                <w:b w:val="1"/>
                <w:bCs w:val="1"/>
                <w:color w:val="auto"/>
              </w:rPr>
              <w:t>Value</w:t>
            </w:r>
          </w:p>
        </w:tc>
      </w:tr>
      <w:tr>
        <w:trPr>
          <w:trHeight w:val="21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60"/>
        </w:trPr>
        <w:tc>
          <w:tcPr>
            <w:tcW w:w="50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178,810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178,810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151,312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151,312</w:t>
            </w: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135,731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135,731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152,411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152,411</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Foreign currency swaps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10,749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10,749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Debt and other obligations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12,249,238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12,555,143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11,920,861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w w:val="99"/>
              </w:rPr>
              <w:t>12,286,161</w:t>
            </w:r>
          </w:p>
        </w:tc>
      </w:tr>
    </w:tbl>
    <w:p>
      <w:pPr>
        <w:spacing w:after="0" w:line="339"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Income (loss) from continuing operations before income taxes by geographic area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9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19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461,293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341,070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260,364</w:t>
            </w:r>
          </w:p>
        </w:tc>
        <w:tc>
          <w:tcPr>
            <w:tcW w:w="0" w:type="dxa"/>
            <w:vAlign w:val="bottom"/>
          </w:tcPr>
          <w:p>
            <w:pPr>
              <w:spacing w:after="0"/>
              <w:rPr>
                <w:sz w:val="1"/>
                <w:szCs w:val="1"/>
                <w:color w:val="auto"/>
              </w:rPr>
            </w:pPr>
          </w:p>
        </w:tc>
      </w:tr>
      <w:tr>
        <w:trPr>
          <w:trHeight w:val="270"/>
        </w:trPr>
        <w:tc>
          <w:tcPr>
            <w:tcW w:w="54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Foreign</w:t>
            </w:r>
            <w:r>
              <w:rPr>
                <w:rFonts w:ascii="Arial" w:cs="Arial" w:eastAsia="Arial" w:hAnsi="Arial"/>
                <w:sz w:val="21"/>
                <w:szCs w:val="21"/>
                <w:color w:val="auto"/>
                <w:vertAlign w:val="superscript"/>
              </w:rPr>
              <w:t>(a)</w:t>
            </w:r>
          </w:p>
        </w:tc>
        <w:tc>
          <w:tcPr>
            <w:tcW w:w="98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12,536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(9,363)</w:t>
            </w:r>
          </w:p>
        </w:tc>
        <w:tc>
          <w:tcPr>
            <w:tcW w:w="0" w:type="dxa"/>
            <w:vAlign w:val="bottom"/>
          </w:tcPr>
          <w:p>
            <w:pPr>
              <w:spacing w:after="0"/>
              <w:rPr>
                <w:sz w:val="1"/>
                <w:szCs w:val="1"/>
                <w:color w:val="auto"/>
              </w:rPr>
            </w:pPr>
          </w:p>
        </w:tc>
      </w:tr>
      <w:tr>
        <w:trPr>
          <w:trHeight w:val="255"/>
        </w:trPr>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473,829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251,001</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spacing w:after="0"/>
              <w:rPr>
                <w:sz w:val="20"/>
                <w:szCs w:val="20"/>
                <w:color w:val="auto"/>
              </w:rPr>
            </w:pPr>
            <w:r>
              <w:rPr>
                <w:rFonts w:ascii="Arial" w:cs="Arial" w:eastAsia="Arial" w:hAnsi="Arial"/>
                <w:sz w:val="14"/>
                <w:szCs w:val="14"/>
                <w:color w:val="auto"/>
                <w:w w:val="96"/>
              </w:rPr>
              <w:t>(a)   Inclusive of income</w:t>
            </w:r>
          </w:p>
        </w:tc>
        <w:tc>
          <w:tcPr>
            <w:tcW w:w="3980" w:type="dxa"/>
            <w:vAlign w:val="bottom"/>
          </w:tcPr>
          <w:p>
            <w:pPr>
              <w:jc w:val="center"/>
              <w:ind w:right="1168"/>
              <w:spacing w:after="0"/>
              <w:rPr>
                <w:sz w:val="20"/>
                <w:szCs w:val="20"/>
                <w:color w:val="auto"/>
              </w:rPr>
            </w:pPr>
            <w:r>
              <w:rPr>
                <w:rFonts w:ascii="Arial" w:cs="Arial" w:eastAsia="Arial" w:hAnsi="Arial"/>
                <w:sz w:val="14"/>
                <w:szCs w:val="14"/>
                <w:color w:val="auto"/>
                <w:w w:val="93"/>
              </w:rPr>
              <w:t>(loss) before income taxes from Puerto Rico.</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420" w:type="dxa"/>
            <w:vAlign w:val="bottom"/>
            <w:gridSpan w:val="3"/>
          </w:tcPr>
          <w:p>
            <w:pPr>
              <w:jc w:val="center"/>
              <w:ind w:left="119"/>
              <w:spacing w:after="0"/>
              <w:rPr>
                <w:sz w:val="20"/>
                <w:szCs w:val="20"/>
                <w:color w:val="auto"/>
              </w:rPr>
            </w:pPr>
            <w:r>
              <w:rPr>
                <w:rFonts w:ascii="Arial" w:cs="Arial" w:eastAsia="Arial" w:hAnsi="Arial"/>
                <w:sz w:val="18"/>
                <w:szCs w:val="18"/>
                <w:color w:val="auto"/>
                <w:w w:val="92"/>
              </w:rPr>
              <w:t>The benefit (provision) for income taxes consists of the following:</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center"/>
              <w:ind w:right="30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9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980" w:type="dxa"/>
            <w:vAlign w:val="bottom"/>
            <w:shd w:val="clear" w:color="auto" w:fill="CCEEFF"/>
          </w:tcPr>
          <w:p>
            <w:pPr>
              <w:spacing w:after="0"/>
              <w:rPr>
                <w:sz w:val="5"/>
                <w:szCs w:val="5"/>
                <w:color w:val="auto"/>
              </w:rPr>
            </w:pPr>
          </w:p>
        </w:tc>
        <w:tc>
          <w:tcPr>
            <w:tcW w:w="1960" w:type="dxa"/>
            <w:vAlign w:val="bottom"/>
            <w:gridSpan w:val="2"/>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80" w:type="dxa"/>
            <w:vAlign w:val="bottom"/>
            <w:gridSpan w:val="2"/>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420" w:type="dxa"/>
            <w:vAlign w:val="bottom"/>
            <w:gridSpan w:val="3"/>
          </w:tcPr>
          <w:p>
            <w:pPr>
              <w:ind w:left="500"/>
              <w:spacing w:after="0"/>
              <w:rPr>
                <w:sz w:val="20"/>
                <w:szCs w:val="20"/>
                <w:color w:val="auto"/>
              </w:rPr>
            </w:pPr>
            <w:r>
              <w:rPr>
                <w:rFonts w:ascii="Arial" w:cs="Arial" w:eastAsia="Arial" w:hAnsi="Arial"/>
                <w:sz w:val="16"/>
                <w:szCs w:val="16"/>
                <w:color w:val="auto"/>
              </w:rPr>
              <w:t>Federal</w:t>
            </w:r>
          </w:p>
        </w:tc>
        <w:tc>
          <w:tcPr>
            <w:tcW w:w="196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495</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(5,110)</w:t>
            </w:r>
          </w:p>
        </w:tc>
        <w:tc>
          <w:tcPr>
            <w:tcW w:w="0" w:type="dxa"/>
            <w:vAlign w:val="bottom"/>
          </w:tcPr>
          <w:p>
            <w:pPr>
              <w:spacing w:after="0"/>
              <w:rPr>
                <w:sz w:val="1"/>
                <w:szCs w:val="1"/>
                <w:color w:val="auto"/>
              </w:rPr>
            </w:pPr>
          </w:p>
        </w:tc>
      </w:tr>
      <w:tr>
        <w:trPr>
          <w:trHeight w:val="237"/>
        </w:trPr>
        <w:tc>
          <w:tcPr>
            <w:tcW w:w="5420" w:type="dxa"/>
            <w:vAlign w:val="bottom"/>
            <w:gridSpan w:val="3"/>
          </w:tcPr>
          <w:p>
            <w:pPr>
              <w:ind w:left="50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(12,305)</w:t>
            </w:r>
          </w:p>
        </w:tc>
        <w:tc>
          <w:tcPr>
            <w:tcW w:w="0" w:type="dxa"/>
            <w:vAlign w:val="bottom"/>
          </w:tcPr>
          <w:p>
            <w:pPr>
              <w:spacing w:after="0"/>
              <w:rPr>
                <w:sz w:val="1"/>
                <w:szCs w:val="1"/>
                <w:color w:val="auto"/>
              </w:rPr>
            </w:pP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current</w:t>
            </w:r>
          </w:p>
        </w:tc>
        <w:tc>
          <w:tcPr>
            <w:tcW w:w="9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(16,731)</w:t>
            </w:r>
          </w:p>
        </w:tc>
        <w:tc>
          <w:tcPr>
            <w:tcW w:w="0" w:type="dxa"/>
            <w:vAlign w:val="bottom"/>
          </w:tcPr>
          <w:p>
            <w:pPr>
              <w:spacing w:after="0"/>
              <w:rPr>
                <w:sz w:val="1"/>
                <w:szCs w:val="1"/>
                <w:color w:val="auto"/>
              </w:rPr>
            </w:pPr>
          </w:p>
        </w:tc>
      </w:tr>
      <w:tr>
        <w:trPr>
          <w:trHeight w:val="204"/>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Federal</w:t>
            </w:r>
          </w:p>
        </w:tc>
        <w:tc>
          <w:tcPr>
            <w:tcW w:w="9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44,716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(164,769)</w:t>
            </w:r>
          </w:p>
        </w:tc>
        <w:tc>
          <w:tcPr>
            <w:tcW w:w="0" w:type="dxa"/>
            <w:vAlign w:val="bottom"/>
          </w:tcPr>
          <w:p>
            <w:pPr>
              <w:spacing w:after="0"/>
              <w:rPr>
                <w:sz w:val="1"/>
                <w:szCs w:val="1"/>
                <w:color w:val="auto"/>
              </w:rPr>
            </w:pPr>
          </w:p>
        </w:tc>
      </w:tr>
      <w:tr>
        <w:trPr>
          <w:trHeight w:val="237"/>
        </w:trPr>
        <w:tc>
          <w:tcPr>
            <w:tcW w:w="5420" w:type="dxa"/>
            <w:vAlign w:val="bottom"/>
            <w:gridSpan w:val="3"/>
          </w:tcPr>
          <w:p>
            <w:pPr>
              <w:ind w:left="500"/>
              <w:spacing w:after="0"/>
              <w:rPr>
                <w:sz w:val="20"/>
                <w:szCs w:val="20"/>
                <w:color w:val="auto"/>
              </w:rPr>
            </w:pPr>
            <w:r>
              <w:rPr>
                <w:rFonts w:ascii="Arial" w:cs="Arial" w:eastAsia="Arial" w:hAnsi="Arial"/>
                <w:sz w:val="16"/>
                <w:szCs w:val="16"/>
                <w:color w:val="auto"/>
              </w:rPr>
              <w:t>Foreign</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State</w:t>
            </w:r>
          </w:p>
        </w:tc>
        <w:tc>
          <w:tcPr>
            <w:tcW w:w="9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16,950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217"/>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Total deferred</w:t>
            </w:r>
          </w:p>
        </w:tc>
        <w:tc>
          <w:tcPr>
            <w:tcW w:w="9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60,618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21,859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(174,269)</w:t>
            </w:r>
          </w:p>
        </w:tc>
        <w:tc>
          <w:tcPr>
            <w:tcW w:w="0" w:type="dxa"/>
            <w:vAlign w:val="bottom"/>
          </w:tcPr>
          <w:p>
            <w:pPr>
              <w:spacing w:after="0"/>
              <w:rPr>
                <w:sz w:val="1"/>
                <w:szCs w:val="1"/>
                <w:color w:val="auto"/>
              </w:rPr>
            </w:pP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tax benefit (provision)</w:t>
            </w:r>
          </w:p>
        </w:tc>
        <w:tc>
          <w:tcPr>
            <w:tcW w:w="19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51,457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(191,000)</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519"/>
              <w:spacing w:after="0"/>
              <w:rPr>
                <w:sz w:val="20"/>
                <w:szCs w:val="20"/>
                <w:color w:val="auto"/>
              </w:rPr>
            </w:pPr>
            <w:r>
              <w:rPr>
                <w:rFonts w:ascii="Arial" w:cs="Arial" w:eastAsia="Arial" w:hAnsi="Arial"/>
                <w:sz w:val="18"/>
                <w:szCs w:val="18"/>
                <w:color w:val="auto"/>
              </w:rPr>
              <w:t>69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 reconciliation between the benefit (provision) for income taxes and the amount computed by applying the federal statutory income tax rate to the income (loss) before income taxes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2013</w:t>
            </w:r>
          </w:p>
        </w:tc>
      </w:tr>
      <w:tr>
        <w:trPr>
          <w:trHeight w:val="23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 at statutory rate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(165,840)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(87,850)</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Tax effect of foreign income (losses)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Tax adjustment related to REIT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186,649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132,951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Tax adjustment related to the REIT election</w:t>
            </w:r>
            <w:r>
              <w:rPr>
                <w:rFonts w:ascii="Arial" w:cs="Arial" w:eastAsia="Arial" w:hAnsi="Arial"/>
                <w:sz w:val="21"/>
                <w:szCs w:val="21"/>
                <w:color w:val="auto"/>
                <w:vertAlign w:val="superscript"/>
              </w:rPr>
              <w:t>(a)</w:t>
            </w:r>
          </w:p>
        </w:tc>
        <w:tc>
          <w:tcPr>
            <w:tcW w:w="4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(67,395)</w:t>
            </w:r>
          </w:p>
        </w:tc>
      </w:tr>
      <w:tr>
        <w:trPr>
          <w:trHeight w:val="270"/>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Tax adjustment related to the inclusion of small cells in the REIT</w:t>
            </w:r>
            <w:r>
              <w:rPr>
                <w:rFonts w:ascii="Arial" w:cs="Arial" w:eastAsia="Arial" w:hAnsi="Arial"/>
                <w:sz w:val="21"/>
                <w:szCs w:val="21"/>
                <w:color w:val="auto"/>
                <w:vertAlign w:val="superscript"/>
              </w:rPr>
              <w:t>(b)</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33,759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Expenses for which no federal tax benefit was recognized</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(9,570)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Valuation allowances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State tax (provision) benefit, net of federal</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(14,852)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Foreign tax</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(5,240)</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(2,816)</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51,457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(191,000)</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Inclusive of a $39.8 million adjustment during the year ended December 31, 2013 to reclassify a deferred tax charge from AOCI to the provision for income taxes.</w:t>
      </w:r>
    </w:p>
    <w:p>
      <w:pPr>
        <w:spacing w:after="0" w:line="7" w:lineRule="exact"/>
        <w:rPr>
          <w:rFonts w:ascii="Arial" w:cs="Arial" w:eastAsia="Arial" w:hAnsi="Arial"/>
          <w:sz w:val="14"/>
          <w:szCs w:val="14"/>
          <w:color w:val="auto"/>
        </w:rPr>
      </w:pPr>
    </w:p>
    <w:p>
      <w:pPr>
        <w:ind w:left="340" w:right="60" w:hanging="332"/>
        <w:spacing w:after="0" w:line="255"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During the fourth quarter of 2015, the Company de-recognized the net deferred tax liabilities related to the Company's small cells previously included in one or more TRSs in conjunction with the inclusion of small cells in the REIT in January 2016.</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net deferred income tax assets and liabilities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2014</w:t>
            </w: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Property and equipment</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167,491</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site rental receivable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18,320</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Intangible assets</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102,624</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deferred income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288,435</w:t>
            </w: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assets:</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60"/>
        </w:trPr>
        <w:tc>
          <w:tcPr>
            <w:tcW w:w="8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Intangible assets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40,654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Net operating loss carryforwards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7,891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133,096</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ground lease payable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1,627</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4,183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158,813</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Receivables allowance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1,459</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1,278</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Valuation allowances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(21,038)</w:t>
            </w:r>
          </w:p>
        </w:tc>
      </w:tr>
      <w:tr>
        <w:trPr>
          <w:trHeight w:val="217"/>
        </w:trPr>
        <w:tc>
          <w:tcPr>
            <w:tcW w:w="8120" w:type="dxa"/>
            <w:vAlign w:val="bottom"/>
          </w:tcPr>
          <w:p>
            <w:pPr>
              <w:ind w:left="920"/>
              <w:spacing w:after="0"/>
              <w:rPr>
                <w:sz w:val="20"/>
                <w:szCs w:val="20"/>
                <w:color w:val="auto"/>
              </w:rPr>
            </w:pPr>
            <w:r>
              <w:rPr>
                <w:rFonts w:ascii="Arial" w:cs="Arial" w:eastAsia="Arial" w:hAnsi="Arial"/>
                <w:sz w:val="16"/>
                <w:szCs w:val="16"/>
                <w:color w:val="auto"/>
              </w:rPr>
              <w:t>Total deferred income tax assets, net</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8"/>
              </w:rPr>
              <w:t>53,494</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275,235</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income tax asset (liabilities)</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47,418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During the fourth quarter of 2015, the Company completed the necessary steps to include its small cells </w:t>
      </w:r>
      <w:r>
        <w:rPr>
          <w:rFonts w:ascii="Arial" w:cs="Arial" w:eastAsia="Arial" w:hAnsi="Arial"/>
          <w:sz w:val="16"/>
          <w:szCs w:val="16"/>
          <w:color w:val="231F20"/>
        </w:rPr>
        <w:t>that were previously included in one or more</w:t>
      </w:r>
      <w:r>
        <w:rPr>
          <w:rFonts w:ascii="Arial" w:cs="Arial" w:eastAsia="Arial" w:hAnsi="Arial"/>
          <w:sz w:val="16"/>
          <w:szCs w:val="16"/>
          <w:color w:val="auto"/>
        </w:rPr>
        <w:t xml:space="preserve"> </w:t>
      </w:r>
      <w:r>
        <w:rPr>
          <w:rFonts w:ascii="Arial" w:cs="Arial" w:eastAsia="Arial" w:hAnsi="Arial"/>
          <w:sz w:val="16"/>
          <w:szCs w:val="16"/>
          <w:color w:val="231F20"/>
        </w:rPr>
        <w:t xml:space="preserve">TRSs </w:t>
      </w:r>
      <w:r>
        <w:rPr>
          <w:rFonts w:ascii="Arial" w:cs="Arial" w:eastAsia="Arial" w:hAnsi="Arial"/>
          <w:sz w:val="16"/>
          <w:szCs w:val="16"/>
          <w:color w:val="000000"/>
        </w:rPr>
        <w:t>in the REIT effective January 2016. See note 19. As a result, during the fourth quarter of 2015, the Company de-recognized the net deferred tax</w:t>
      </w:r>
      <w:r>
        <w:rPr>
          <w:rFonts w:ascii="Arial" w:cs="Arial" w:eastAsia="Arial" w:hAnsi="Arial"/>
          <w:sz w:val="16"/>
          <w:szCs w:val="16"/>
          <w:color w:val="231F20"/>
        </w:rPr>
        <w:t xml:space="preserve"> </w:t>
      </w:r>
      <w:r>
        <w:rPr>
          <w:rFonts w:ascii="Arial" w:cs="Arial" w:eastAsia="Arial" w:hAnsi="Arial"/>
          <w:sz w:val="16"/>
          <w:szCs w:val="16"/>
          <w:color w:val="000000"/>
        </w:rPr>
        <w:t>liabilities in conjunction with the inclusion of small cells in the REIT in January 2016, which resulted in a net non-cash income tax benefit of $33.8 million.</w:t>
      </w:r>
    </w:p>
    <w:p>
      <w:pPr>
        <w:spacing w:after="0" w:line="9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fourth quarter of 2013, the Company completed the steps necessary to qualify to operate as a REIT for U.S. federal income tax purposes and received final approval from the Company's board of directors. As a result, the Company de-recognized the net deferred tax assets and liabilities related to the entities included in the REIT, which resulted in net non-cash income tax charge of $67.4 million in conjunction with the REIT conversion. Included in the REIT conversion charge of $67.4 million is a $39.8 million adjustment to reclassify a deferred tax charge from AOCI to the provision for income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During 2013, in connection with completing the steps necessary to qualify to operate as a REIT, the Company reversed $29.4 million of valuation allowance associated with capital loss carryforwards as the Company generated sufficient capital gains in 2013 to fully realize these capital loss carryforwards. Also, during 2013, the Company recorded a valuation allowance of $12.0 million against federal NOLs of its </w:t>
      </w:r>
      <w:r>
        <w:rPr>
          <w:rFonts w:ascii="Arial" w:cs="Arial" w:eastAsia="Arial" w:hAnsi="Arial"/>
          <w:sz w:val="18"/>
          <w:szCs w:val="18"/>
          <w:color w:val="231F20"/>
        </w:rPr>
        <w:t>TRSs</w:t>
      </w:r>
      <w:r>
        <w:rPr>
          <w:rFonts w:ascii="Arial" w:cs="Arial" w:eastAsia="Arial" w:hAnsi="Arial"/>
          <w:sz w:val="18"/>
          <w:szCs w:val="18"/>
          <w:color w:val="auto"/>
        </w:rPr>
        <w:t xml:space="preserve"> as the Company determined that a portion of its TRSs federal NOLs more likely than not will not be realized.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net deferred income tax assets (liabilities)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2015</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Pr>
          <w:p>
            <w:pPr>
              <w:spacing w:after="0"/>
              <w:rPr>
                <w:sz w:val="13"/>
                <w:szCs w:val="13"/>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Valuation</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Valuation</w:t>
            </w:r>
          </w:p>
        </w:tc>
        <w:tc>
          <w:tcPr>
            <w:tcW w:w="300" w:type="dxa"/>
            <w:vAlign w:val="bottom"/>
          </w:tcPr>
          <w:p>
            <w:pPr>
              <w:spacing w:after="0"/>
              <w:rPr>
                <w:sz w:val="13"/>
                <w:szCs w:val="13"/>
                <w:color w:val="auto"/>
              </w:rPr>
            </w:pPr>
          </w:p>
        </w:tc>
        <w:tc>
          <w:tcPr>
            <w:tcW w:w="9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Allowance</w:t>
            </w:r>
          </w:p>
        </w:tc>
        <w:tc>
          <w:tcPr>
            <w:tcW w:w="3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Allowance</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Federal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48,273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48,273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37"/>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State</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(15,746)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7"/>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49,412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47,418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7,838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(21,038)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 December 31, 2015, the Company had U.S. federal and state NOLs of approximately $1.3 billion and $0.6 billion, respectively, which are available to offset future taxable income. These amounts include $244.6 million of losses related to stock-based compensation. If not utilized, the Company's U.S. federal NOLs expire starting in 2024 and ending in 2032, and the state NOLs expire starting in 2016 and ending in 2035. The utilization of the NOLs is subject to certain limitations. The Company's U.S. federal and state income tax returns generally remain open to examination by taxing authorities until three years after the applicable NOLs have been used or expired. The remaining valuation allowance relates to certain foreign net deferred tax assets (primarily NOLs).</w:t>
      </w:r>
    </w:p>
    <w:p>
      <w:pPr>
        <w:spacing w:after="0" w:line="13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2015, the total amount of unrecognized tax benefits that would impact the effective tax rate, if recognized, was $6.7 million. The aggregate changes in the balance of unrecognized tax benefits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8,333</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14,089</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Additions based on prior year tax positions</w:t>
            </w:r>
          </w:p>
        </w:tc>
        <w:tc>
          <w:tcPr>
            <w:tcW w:w="110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212</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286</w:t>
            </w:r>
          </w:p>
        </w:tc>
      </w:tr>
      <w:tr>
        <w:trPr>
          <w:trHeight w:val="33"/>
        </w:trPr>
        <w:tc>
          <w:tcPr>
            <w:tcW w:w="7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 as a result of the lapse of statute limitations</w:t>
            </w: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(1,775)</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r>
      <w:tr>
        <w:trPr>
          <w:trHeight w:val="244"/>
        </w:trPr>
        <w:tc>
          <w:tcPr>
            <w:tcW w:w="754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6,770</w:t>
            </w:r>
          </w:p>
        </w:tc>
        <w:tc>
          <w:tcPr>
            <w:tcW w:w="22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8,333</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From time to time, the Company is subject to examinations by various tax authorities in jurisdictions in which the Company has business operations. At this time, the Company is not subject to an IRS examination. The Australian Taxation Office is conducting an audit of the tax consequences for Australian tax purposes of the Company’s sale of CCAL. The Company regularly assesses the likelihood of additional assessments in each of the tax jurisdictions. The Company believes it has adequately provided for uncertain tax positions and does not believe assessments, if any, arising from current or future examination or audits will have a material effect on the Company's financial statements.</w:t>
      </w:r>
    </w:p>
    <w:p>
      <w:pPr>
        <w:spacing w:after="0" w:line="1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2015, the Company's deferred tax assets are included in "long-term prepaid rent, deferred financing costs and other assets, net" and the Company's deferred tax liabilities are included in "other long-term liabilities" on the Company's consolidated balance sheet. See note 2 for a discussion of recently adopted guidance on the presentation of deferred tax assets and deferred tax liabilities.</w:t>
      </w:r>
    </w:p>
    <w:p>
      <w:pPr>
        <w:spacing w:after="0" w:line="339"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October 2013 Equity Financings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28, 2013, the Company completed an offering of 41.4 million shares of common stock, which generated net proceeds of approximately $3.0 billion.</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28, 2013, the Company completed an offering of approximately 9.8 million shares of the Company's 4.50% Mandatory Convertible Preferred Stock, Series A, par value $0.01 per share ("Convertible Preferred Stock"), which generated net proceeds of $950.9 million. The holders of the Convertible Preferred Stock are entitled to receive cumulative dividends, when and if declared by the Company's board of directors, at the rate of 4.50% per annum payable on February 1, May 1, August 1</w:t>
      </w: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November 1 of each year, commencing in February 2014, and to, and including, November 1, 2016. The dividends may be paid in cash or, subject to certain limitations, shares of common stock or any combination of cash and shares of common stock. The terms of the Convertible Preferred Stock provide that, unless accumulated dividends have been paid or set aside for payment on all outstanding Convertible Preferred Stock for all past dividend periods, no dividends may be declared or paid on common stock.</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Unless converted earlier, each outstanding share of the Convertible Preferred Stock will automatically convert on November 1, 2016. Currently, each share of Convertible Preferred Stock will convert into between 1.1538 and 1.4421 shares of common stock, depending on the applicable market value of the common stock and subject to certain anti-dilution adjustments. At any time prior to November 1, 2016, holders of the Convertible Preferred Stock may elect to convert all or a portion of their shares into common stock at the minimum conversion rate of 1.1538, subject to certain anti-dilution adjustments. See note 2.</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common stock and Convertible Preferred Stock offerings in October 2013 are collectively referred to herein as the "October 2013 Equity Financings."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used the proceeds from the October 2013 Equity Financings to partially fund the AT&amp;T Acquisition.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"At-The-Market" Stock Offering Program</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August 2015, the Company established an "at-the-market" stock offering program ("ATM Program") through which it may, from time to time, issue and sell shares of its common stock having an aggregate gross sales price of up to $500.0 million to or through sales agents. Sales, if any, under the ATM Program may be made by means of ordinary brokers' transactions on the New York Stock Exchange or otherwise at market prices prevailing at the time of sale, at prices related to prevailing market prices or, subject to specific instructions of the Company, at negotiated prices. The Company intends to use the net proceeds from any sales under the ATM Program for general corporate purposes, which may include the funding of future acquisitions or investments and the repayment or repurchase of any outstanding indebtedness. As of December 31, 2015, no shares of common stock were sold under the ATM Program.</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Declaration and Payment of Dividends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 ended December 31, 2015, the following dividends were declared or paid: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Aggregate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Dividends Per</w:t>
            </w:r>
          </w:p>
        </w:tc>
        <w:tc>
          <w:tcPr>
            <w:tcW w:w="140" w:type="dxa"/>
            <w:vAlign w:val="bottom"/>
          </w:tcPr>
          <w:p>
            <w:pPr>
              <w:spacing w:after="0"/>
              <w:rPr>
                <w:sz w:val="12"/>
                <w:szCs w:val="12"/>
                <w:color w:val="auto"/>
              </w:rPr>
            </w:pPr>
          </w:p>
        </w:tc>
        <w:tc>
          <w:tcPr>
            <w:tcW w:w="9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2"/>
              </w:rPr>
              <w:t>Payment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Equity Type</w:t>
            </w:r>
          </w:p>
        </w:tc>
        <w:tc>
          <w:tcPr>
            <w:tcW w:w="140" w:type="dxa"/>
            <w:vAlign w:val="bottom"/>
            <w:vMerge w:val="restart"/>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Declaration Date</w:t>
            </w:r>
          </w:p>
        </w:tc>
        <w:tc>
          <w:tcPr>
            <w:tcW w:w="120" w:type="dxa"/>
            <w:vAlign w:val="bottom"/>
            <w:vMerge w:val="restart"/>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20" w:type="dxa"/>
            <w:vAlign w:val="bottom"/>
            <w:vMerge w:val="restart"/>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vMerge w:val="restart"/>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February 12, 2015</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20, 2015</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31, 2015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274.7</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May 29, 2015</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19, 2015</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30, 2015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0.820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274.5</w:t>
            </w:r>
          </w:p>
        </w:tc>
        <w:tc>
          <w:tcPr>
            <w:tcW w:w="44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July 30, 2015</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18, 2015</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30, 2015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274.3</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October 19, 2015</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18, 2015</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31, 2015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0.885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296.5</w:t>
            </w:r>
          </w:p>
        </w:tc>
        <w:tc>
          <w:tcPr>
            <w:tcW w:w="44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Convertible Preferred Stock</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December 22, 2014</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15, 2015</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February 2, 2015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Convertible Preferred Stock</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March 27, 2015</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15, 2015</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1, 2015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11.0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Convertible Preferred Stock</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June 21, 2015</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July 15, 2015</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3, 2015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Convertible Preferred Stock</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September 23, 2015</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15, 2015</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November 2, 2015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11.0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Convertible Preferred Stock</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December 16, 2015</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16, 2016</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February 1, 2016</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11.0</w:t>
            </w: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0" w:type="dxa"/>
            <w:vAlign w:val="bottom"/>
          </w:tcPr>
          <w:p>
            <w:pPr>
              <w:spacing w:after="0"/>
              <w:rPr>
                <w:sz w:val="1"/>
                <w:szCs w:val="1"/>
                <w:color w:val="auto"/>
              </w:rPr>
            </w:pPr>
          </w:p>
        </w:tc>
      </w:tr>
      <w:tr>
        <w:trPr>
          <w:trHeight w:val="33"/>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Inclusive of dividends accrued for holders of unvested RSUs.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amount paid on February 1, 2016 based on holders of record on January 16, 2016.</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Tax Treatment of Dividends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summarizes, for income tax purposes, the nature of dividends paid during 2015 on the Company's common stock and Convertible Preferred Stock.</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Dividends Per</w:t>
            </w:r>
          </w:p>
        </w:tc>
        <w:tc>
          <w:tcPr>
            <w:tcW w:w="120" w:type="dxa"/>
            <w:vAlign w:val="bottom"/>
          </w:tcPr>
          <w:p>
            <w:pPr>
              <w:spacing w:after="0"/>
              <w:rPr>
                <w:sz w:val="14"/>
                <w:szCs w:val="14"/>
                <w:color w:val="auto"/>
              </w:rPr>
            </w:pPr>
          </w:p>
        </w:tc>
        <w:tc>
          <w:tcPr>
            <w:tcW w:w="13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Ordinary Taxable</w:t>
            </w:r>
          </w:p>
        </w:tc>
        <w:tc>
          <w:tcPr>
            <w:tcW w:w="240" w:type="dxa"/>
            <w:vAlign w:val="bottom"/>
          </w:tcPr>
          <w:p>
            <w:pPr>
              <w:spacing w:after="0"/>
              <w:rPr>
                <w:sz w:val="14"/>
                <w:szCs w:val="14"/>
                <w:color w:val="auto"/>
              </w:rPr>
            </w:pPr>
          </w:p>
        </w:tc>
        <w:tc>
          <w:tcPr>
            <w:tcW w:w="13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6"/>
              </w:rPr>
              <w:t>Qualified Taxable</w:t>
            </w:r>
          </w:p>
        </w:tc>
        <w:tc>
          <w:tcPr>
            <w:tcW w:w="18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Long-Term Capital</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Equity Type</w:t>
            </w:r>
          </w:p>
        </w:tc>
        <w:tc>
          <w:tcPr>
            <w:tcW w:w="120" w:type="dxa"/>
            <w:vAlign w:val="bottom"/>
            <w:vMerge w:val="restart"/>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Gain Distribution Per</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3"/>
              </w:rPr>
              <w:t>Dividend Per Share</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 xml:space="preserve">Dividend Per Share </w:t>
            </w:r>
            <w:r>
              <w:rPr>
                <w:rFonts w:ascii="Arial" w:cs="Arial" w:eastAsia="Arial" w:hAnsi="Arial"/>
                <w:sz w:val="8"/>
                <w:szCs w:val="8"/>
                <w:b w:val="1"/>
                <w:bCs w:val="1"/>
                <w:color w:val="auto"/>
              </w:rPr>
              <w:t>(a)</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2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March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0.593</w:t>
            </w: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30,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0.820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0.227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0.035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0.593</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2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September 30,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0.593</w:t>
            </w: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December 31,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0.885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0.245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0.038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0.640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Convertible Preferred Stock</w:t>
            </w:r>
          </w:p>
        </w:tc>
        <w:tc>
          <w:tcPr>
            <w:tcW w:w="2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February 2,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0.813</w:t>
            </w: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Convertible Preferred Stock</w:t>
            </w: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1,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0.312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0.048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0.813</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Convertible Preferred Stock</w:t>
            </w:r>
          </w:p>
        </w:tc>
        <w:tc>
          <w:tcPr>
            <w:tcW w:w="2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August 3,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0.813</w:t>
            </w: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Convertible Preferred Stock</w:t>
            </w: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November 2,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0.312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0.048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106680</wp:posOffset>
            </wp:positionV>
            <wp:extent cx="914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Qualified taxable dividend amounts are included in ordinary taxable dividend amounts.</w:t>
      </w:r>
    </w:p>
    <w:p>
      <w:pPr>
        <w:spacing w:after="0" w:line="16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Alternative minimum tax adjustments are to be apportioned between a REIT and its shareholders under Code Section 59(d). Although regulations have not yet been issued under that provision, based on regulations issued pursuant to a similar provision of prior law and the legislative history of the current provision, it appears that such alternative minimum tax adjustments are to be apportioned to a REIT's shareholders to the extent that the REIT distributes its regular taxable income. All of the Company's alternative minimum tax adjustments are being apportioned to the Company's shareholders.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determined that 0.54% of each distribution to the Company's shareholders for the tax year ended December 31, 2015 consists of an alternative minimum tax adjustment.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Purchases of the Company's Common Stock</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years ended December 31, 2015, 2014, and 2013, the Company purchased 0.3 million, 0.3 million, and 1.4 million shares of common stock, respectively, utilizing $29.7 million, $21.8 million, and $99.5 million in cash, respectively.</w:t>
      </w:r>
    </w:p>
    <w:p>
      <w:pPr>
        <w:spacing w:after="0" w:line="329" w:lineRule="exact"/>
        <w:rPr>
          <w:sz w:val="20"/>
          <w:szCs w:val="20"/>
          <w:color w:val="auto"/>
        </w:rPr>
      </w:pPr>
    </w:p>
    <w:p>
      <w:pPr>
        <w:ind w:left="420" w:right="8920" w:hanging="412"/>
        <w:spacing w:after="0" w:line="528" w:lineRule="auto"/>
        <w:tabs>
          <w:tab w:leader="none" w:pos="42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Stock Compensation Plans</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Pursuant to stockholder approved plans, the Company has and is permitted to grant stock-based awards to certain employees, consultants or non-employee directors of the Company and its subsidiaries or affiliates. As of December 31, 2015, the Company has 12.3 million shares available for future issuance pursuant to its 2013 Long-Term Incentive Plan ("LTI Plan"). Of these shares remaining available for future issuance, approximately 1.8 million may be issued pursuant to outstanding RSUs granted under the LTI Plan.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December 31, 2013, the Company issued RSAs to certain executives and employees. During the year ended December 31, 2014, in conjunction with the adoption of the LTI Plan, the Company began issuing RSUs to certain executives and employees; each RSU represents a contingent right to receive one share of common stock subject to satisfaction of the applicable vesting terms. The RSAs and RSUs granted to certain executives and employees include (1) annual performance awards that often include provisions for forfeiture by the employee if certain market performance of the Company's common stock is not achieved, (2) new hire or promotional awards that generally contain only service conditions, or (3) other awards related to specific business initiatives or compensation objectives including retention and merger integration. Generally, such awards vest over periods of approximately three years.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RSA and RSU activity during the year ended December 31,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5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0"/>
              </w:rPr>
              <w:t>RSAs</w:t>
            </w:r>
          </w:p>
        </w:tc>
        <w:tc>
          <w:tcPr>
            <w:tcW w:w="5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RSUs</w:t>
            </w:r>
          </w:p>
        </w:tc>
      </w:tr>
      <w:tr>
        <w:trPr>
          <w:trHeight w:val="250"/>
        </w:trPr>
        <w:tc>
          <w:tcPr>
            <w:tcW w:w="698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Borders>
              <w:bottom w:val="single" w:sz="8" w:color="auto"/>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the beginning of year</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1,440</w:t>
            </w:r>
          </w:p>
        </w:tc>
        <w:tc>
          <w:tcPr>
            <w:tcW w:w="4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950</w:t>
            </w:r>
          </w:p>
        </w:tc>
      </w:tr>
      <w:tr>
        <w:trPr>
          <w:trHeight w:val="237"/>
        </w:trPr>
        <w:tc>
          <w:tcPr>
            <w:tcW w:w="8500" w:type="dxa"/>
            <w:vAlign w:val="bottom"/>
            <w:gridSpan w:val="2"/>
          </w:tcPr>
          <w:p>
            <w:pPr>
              <w:ind w:left="40"/>
              <w:spacing w:after="0"/>
              <w:rPr>
                <w:sz w:val="20"/>
                <w:szCs w:val="20"/>
                <w:color w:val="auto"/>
              </w:rPr>
            </w:pPr>
            <w:r>
              <w:rPr>
                <w:rFonts w:ascii="Arial" w:cs="Arial" w:eastAsia="Arial" w:hAnsi="Arial"/>
                <w:sz w:val="16"/>
                <w:szCs w:val="16"/>
                <w:color w:val="auto"/>
              </w:rPr>
              <w:t>Granted</w:t>
            </w:r>
          </w:p>
        </w:tc>
        <w:tc>
          <w:tcPr>
            <w:tcW w:w="9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22"/>
              <w:spacing w:after="0"/>
              <w:rPr>
                <w:sz w:val="20"/>
                <w:szCs w:val="20"/>
                <w:color w:val="auto"/>
              </w:rPr>
            </w:pPr>
            <w:r>
              <w:rPr>
                <w:rFonts w:ascii="Arial" w:cs="Arial" w:eastAsia="Arial" w:hAnsi="Arial"/>
                <w:sz w:val="16"/>
                <w:szCs w:val="16"/>
                <w:color w:val="auto"/>
              </w:rPr>
              <w:t>1,027</w:t>
            </w:r>
          </w:p>
        </w:tc>
      </w:tr>
      <w:tr>
        <w:trPr>
          <w:trHeight w:val="33"/>
        </w:trPr>
        <w:tc>
          <w:tcPr>
            <w:tcW w:w="6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4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850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69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8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end of year</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1,777</w:t>
            </w:r>
          </w:p>
        </w:tc>
      </w:tr>
      <w:tr>
        <w:trPr>
          <w:trHeight w:val="33"/>
        </w:trPr>
        <w:tc>
          <w:tcPr>
            <w:tcW w:w="69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granted approximately 1.0 million RSUs to the Company's executives and certain other employees for each of the years ended December 31, 2015 and 2014. The Company granted approximately 1.0 million shares of RSAs to the Company's executives and certain other employees for the year ended December 31, 2013. The weighted-average grant-date fair value per share of the grants for the years ended December 31, 2015, 2014, and 2013 was $69.96, $57.78, and $46.37 per share, respectively. The weighted-average requisite service period for the RSUs granted during 2015 was approximately 2.5 years.</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approximately 1.0 million RSUs granted during the year ended December 31, 2015, were comprised of (1) approximately 0.5 million RSUs that time vest over a three-year period, and (2) approximately 0.5 million RSUs to the Company's executives and certain other employees which may vest on the third anniversary of the grant date based upon the Company's total shareholder returns (defined as share price appreciation plus the value of dividends paid during the performance period) compared to that of selected peer companies. Certain RSA and RSU agreements contain provisions that result in forfeiture by the employee of any unvested shares in the event that the Company's common stock does not achieve certain price targets. To the extent that the requisite service is rendered, compensation cost for accounting purposes is not reversed; rather, it is recognized regardless of whether or not the market performance target is achieved.</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assumptions used in the Monte Carlo simulation to determine the grant-date fair value for the awards granted during the years ended December 31, 2015, 2014, and 2013, respectively, with market conditions.</w:t>
      </w:r>
    </w:p>
    <w:p>
      <w:pPr>
        <w:spacing w:after="0" w:line="216"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23495</wp:posOffset>
            </wp:positionV>
            <wp:extent cx="32416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2013</w:t>
            </w:r>
          </w:p>
        </w:tc>
      </w:tr>
      <w:tr>
        <w:trPr>
          <w:trHeight w:val="236"/>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38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6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7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rate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recognized aggregate stock-based compensation expense related to RSAs and RSUs of $57.1 million, $45.8 million, and $37.8 million for the years ended December 31, 2015, 2014, and 2013, respectively. The aggregate unrecognized compensation (net of estimated forfeitures) related to RSAs and RSUs at December 31, 2015 is $51.5 million and is estimated to be recognized over a weighted-average period of less than one year.</w:t>
      </w:r>
    </w:p>
    <w:p>
      <w:pPr>
        <w:sectPr>
          <w:pgSz w:w="11900" w:h="16838" w:orient="portrait"/>
          <w:cols w:equalWidth="0" w:num="1">
            <w:col w:w="11420"/>
          </w:cols>
          <w:pgMar w:left="240" w:top="121" w:right="239" w:bottom="1440" w:gutter="0" w:footer="0" w:header="0"/>
        </w:sectPr>
      </w:pPr>
    </w:p>
    <w:p>
      <w:pPr>
        <w:spacing w:after="0" w:line="9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is a summary of the awards vested during the three years ended December 31, 2015.</w:t>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50768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Total Shares</w:t>
            </w:r>
          </w:p>
        </w:tc>
        <w:tc>
          <w:tcPr>
            <w:tcW w:w="240" w:type="dxa"/>
            <w:vAlign w:val="bottom"/>
          </w:tcPr>
          <w:p>
            <w:pPr>
              <w:spacing w:after="0"/>
              <w:rPr>
                <w:sz w:val="14"/>
                <w:szCs w:val="14"/>
                <w:color w:val="auto"/>
              </w:rPr>
            </w:pPr>
          </w:p>
        </w:tc>
        <w:tc>
          <w:tcPr>
            <w:tcW w:w="1340" w:type="dxa"/>
            <w:vAlign w:val="bottom"/>
          </w:tcPr>
          <w:p>
            <w:pPr>
              <w:jc w:val="right"/>
              <w:ind w:right="303"/>
              <w:spacing w:after="0"/>
              <w:rPr>
                <w:sz w:val="20"/>
                <w:szCs w:val="20"/>
                <w:color w:val="auto"/>
              </w:rPr>
            </w:pPr>
            <w:r>
              <w:rPr>
                <w:rFonts w:ascii="Arial" w:cs="Arial" w:eastAsia="Arial" w:hAnsi="Arial"/>
                <w:sz w:val="14"/>
                <w:szCs w:val="14"/>
                <w:b w:val="1"/>
                <w:bCs w:val="1"/>
                <w:color w:val="auto"/>
              </w:rPr>
              <w:t>Fair Value on</w:t>
            </w:r>
          </w:p>
        </w:tc>
      </w:tr>
      <w:tr>
        <w:trPr>
          <w:trHeight w:val="192"/>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Vesting Date</w:t>
            </w:r>
          </w:p>
        </w:tc>
      </w:tr>
      <w:tr>
        <w:trPr>
          <w:trHeight w:val="152"/>
        </w:trPr>
        <w:tc>
          <w:tcPr>
            <w:tcW w:w="1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6"/>
        </w:trPr>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of shares)</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9"/>
        </w:trPr>
        <w:tc>
          <w:tcPr>
            <w:tcW w:w="1620" w:type="dxa"/>
            <w:vAlign w:val="bottom"/>
          </w:tcPr>
          <w:p>
            <w:pPr>
              <w:jc w:val="right"/>
              <w:ind w:right="44"/>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83,244</w:t>
            </w:r>
          </w:p>
        </w:tc>
      </w:tr>
      <w:tr>
        <w:trPr>
          <w:trHeight w:val="270"/>
        </w:trPr>
        <w:tc>
          <w:tcPr>
            <w:tcW w:w="1620" w:type="dxa"/>
            <w:vAlign w:val="bottom"/>
          </w:tcPr>
          <w:p>
            <w:pPr>
              <w:jc w:val="right"/>
              <w:ind w:right="44"/>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62,686</w:t>
            </w:r>
          </w:p>
        </w:tc>
      </w:tr>
      <w:tr>
        <w:trPr>
          <w:trHeight w:val="270"/>
        </w:trPr>
        <w:tc>
          <w:tcPr>
            <w:tcW w:w="1620" w:type="dxa"/>
            <w:vAlign w:val="bottom"/>
          </w:tcPr>
          <w:p>
            <w:pPr>
              <w:jc w:val="right"/>
              <w:ind w:right="44"/>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66,666</w:t>
            </w:r>
          </w:p>
        </w:tc>
      </w:tr>
    </w:tbl>
    <w:p>
      <w:pPr>
        <w:spacing w:after="0" w:line="200" w:lineRule="exact"/>
        <w:rPr>
          <w:sz w:val="20"/>
          <w:szCs w:val="20"/>
          <w:color w:val="auto"/>
        </w:rPr>
      </w:pPr>
    </w:p>
    <w:p>
      <w:pPr>
        <w:sectPr>
          <w:pgSz w:w="11900" w:h="16838" w:orient="portrait"/>
          <w:cols w:equalWidth="0" w:num="2">
            <w:col w:w="7940" w:space="180"/>
            <w:col w:w="3300"/>
          </w:cols>
          <w:pgMar w:left="240" w:top="121"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1"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components of stock-based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2013</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6400" w:type="dxa"/>
            <w:vAlign w:val="bottom"/>
          </w:tcPr>
          <w:p>
            <w:pPr>
              <w:ind w:left="500"/>
              <w:spacing w:after="0"/>
              <w:rPr>
                <w:sz w:val="20"/>
                <w:szCs w:val="20"/>
                <w:color w:val="auto"/>
              </w:rPr>
            </w:pPr>
            <w:r>
              <w:rPr>
                <w:rFonts w:ascii="Arial" w:cs="Arial" w:eastAsia="Arial" w:hAnsi="Arial"/>
                <w:sz w:val="16"/>
                <w:szCs w:val="16"/>
                <w:color w:val="auto"/>
              </w:rPr>
              <w:t>Site rental costs of operations</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8,969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1,193</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Network services and other costs of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1,799</w:t>
            </w:r>
          </w:p>
        </w:tc>
      </w:tr>
      <w:tr>
        <w:trPr>
          <w:trHeight w:val="237"/>
        </w:trPr>
        <w:tc>
          <w:tcPr>
            <w:tcW w:w="6400" w:type="dxa"/>
            <w:vAlign w:val="bottom"/>
          </w:tcPr>
          <w:p>
            <w:pPr>
              <w:ind w:left="500"/>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52,809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44,977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36,038</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stock-based compensation</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67,148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56,431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39,030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Additionally, the Company and certain of its subsidiaries are contingently liable for commitments or performance guarantees arising in the ordinary course of business, including certain letters of credit or surety bonds. See note 15 for a discussion of the operating lease commitments. In addition, see note 1 for a discussion of the Company's option to purchase approximately 54% of its towers at the end of their respective lease terms. The Company has no obligation to exercise such purchase options.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has the obligation to perform certain asset retirement activities, including requirements upon lease or easement termination to remove wireless infrastructure or remediate the land upon which its wireless infrastructure resides. Accretion expense related to liabilities for retirement obligations amounted to $9.9 million, $9.2 million, and $7.1 million for the years ended December 31, 2015, 2014, and 2013, respectively. As of December 31, 2015 and 2014, liabilities for retirement obligations were $132.1 million and $119.5 million, respectively, representing the net present value of the estimated expected future cash outlay. As of December 31, 2015, the estimated undiscounted future cash outlay for asset retirement obligations was approximately $1.1 billion. See note 2.</w:t>
      </w:r>
    </w:p>
    <w:p>
      <w:pPr>
        <w:spacing w:after="0" w:line="351" w:lineRule="exact"/>
        <w:rPr>
          <w:sz w:val="20"/>
          <w:szCs w:val="20"/>
          <w:color w:val="auto"/>
        </w:rPr>
      </w:pPr>
    </w:p>
    <w:p>
      <w:pPr>
        <w:ind w:left="420" w:right="9660" w:hanging="412"/>
        <w:spacing w:after="0" w:line="528" w:lineRule="auto"/>
        <w:tabs>
          <w:tab w:leader="none" w:pos="42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i w:val="1"/>
          <w:iCs w:val="1"/>
          <w:color w:val="auto"/>
        </w:rPr>
        <w:t>Tenant Leases</w:t>
      </w:r>
    </w:p>
    <w:p>
      <w:pPr>
        <w:spacing w:after="0" w:line="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following table is a summary of the rental cash payments owed to the Company, as a lessor, by tenants pursuant to contractual agreements in effect as of December 31, 2015. Generally, the Company's leases with its tenants provide for (1) annual escalations, (2) multiple renewal periods at the tenant's option, and (3) only limited termination rights at the applicable tenant's option through the current term. As of December 31, 2015, the weighted-average remaining term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r>
      <w:tr>
        <w:trPr>
          <w:trHeight w:val="22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2,824,247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2,757,293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2,675,956</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2,548,699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2,391,202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6,890,891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20,088,288</w:t>
            </w:r>
          </w:p>
        </w:tc>
      </w:tr>
      <w:tr>
        <w:trPr>
          <w:trHeight w:val="33"/>
        </w:trPr>
        <w:tc>
          <w:tcPr>
            <w:tcW w:w="2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following table is a summary of rental cash payments owed by the Company, as lessee, to landlords pursuant to contractual agreements in effect as of December 31, 2015. The Company is obligated under non-cancelable operating leases for land interests under 78% of its towers. The majority of these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wireless infrastructure located on the leased land interest. Approximately 75% and approximately 90% of the Company's site rental gross margins for the year ended December 31, 2015 are derived from towers where the land interest under the tower is owned or leased with final expiration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4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dates of greater than 20 years and ten years, respectively, inclusive of renewals at the Company's option. The operating lease payments included in the table below include payments for certain renewal periods at the Company's option up to the estimated wireless infrastructure useful life of 20 years and an estimate of contingent payments based on revenues and gross margins derived from existing tenant leases.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Years Ending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3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r>
      <w:tr>
        <w:trPr>
          <w:trHeight w:val="22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564,114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571,325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575,605</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579,376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580,894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7,669,357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10,540,671</w:t>
            </w:r>
          </w:p>
        </w:tc>
      </w:tr>
      <w:tr>
        <w:trPr>
          <w:trHeight w:val="33"/>
        </w:trPr>
        <w:tc>
          <w:tcPr>
            <w:tcW w:w="2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Rental expense from operating leases was $657.1 million, $645.3 million, and $482.3 million, respectively, for the years ended December 31, 2015, 2014, and 2013. The rental expense was inclusive of contingent payments based on revenues or gross margin derived from the wireless infrastructure located on the leased land interests of $91.8 million, $88.3 million, and $73.7 million, respectively, for the years ended December 31, 2015, 2014, and 2013.</w:t>
      </w:r>
    </w:p>
    <w:p>
      <w:pPr>
        <w:spacing w:after="0" w:line="305" w:lineRule="exact"/>
        <w:rPr>
          <w:sz w:val="20"/>
          <w:szCs w:val="20"/>
          <w:color w:val="auto"/>
        </w:rPr>
      </w:pPr>
    </w:p>
    <w:p>
      <w:pPr>
        <w:ind w:left="420" w:right="6760" w:hanging="412"/>
        <w:spacing w:after="0" w:line="440" w:lineRule="auto"/>
        <w:tabs>
          <w:tab w:leader="none" w:pos="4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Operating Segments and Concentrations of Credit Risk </w:t>
      </w:r>
      <w:r>
        <w:rPr>
          <w:rFonts w:ascii="Arial" w:cs="Arial" w:eastAsia="Arial" w:hAnsi="Arial"/>
          <w:sz w:val="18"/>
          <w:szCs w:val="18"/>
          <w:i w:val="1"/>
          <w:iCs w:val="1"/>
          <w:color w:val="auto"/>
        </w:rPr>
        <w:t>Operating Segments</w:t>
      </w:r>
    </w:p>
    <w:p>
      <w:pPr>
        <w:spacing w:after="0" w:line="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determined that presently, following the sale of CCAL, it has one reportable operating segment consisting of its U.S. operations, which is consistent with its current operational and financial reporting structure. Financial results for the Company are currently reported to the Company's management team and board of directors in this manner.</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Prior to its sale in May 2015, CCAL, the Company's previously 77.6% owned subsidiary that owned and operated towers in Australia, was a reportable segment. As a result of the sale of CCAL, the Company's segment data has been reclassified for all periods presented to include CCAL on a discontinued operations basis.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will continue its evaluation of its operating segments following the disposition of CCAL and its change in strategic focus to its U.S. business. To the extent the Company makes changes to its financial reporting or organizational structure, including the integration of the Sunesys Acquisition, the Company will evaluate any impact such changes may have to its segment reporting.</w:t>
      </w: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Major Customers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summarizes the percentage of the consolidated revenues for those customers accounting for more than 10% of the consolidated revenues.</w:t>
      </w:r>
    </w:p>
    <w:p>
      <w:pPr>
        <w:spacing w:after="0" w:line="270"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23495</wp:posOffset>
            </wp:positionV>
            <wp:extent cx="35331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Borders>
              <w:bottom w:val="single" w:sz="8" w:color="CCEEFF"/>
            </w:tcBorders>
            <w:gridSpan w:val="3"/>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2013</w:t>
            </w:r>
          </w:p>
        </w:tc>
      </w:tr>
      <w:tr>
        <w:trPr>
          <w:trHeight w:val="256"/>
        </w:trPr>
        <w:tc>
          <w:tcPr>
            <w:tcW w:w="69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 xml:space="preserve">AT&amp;T </w:t>
            </w:r>
            <w:r>
              <w:rPr>
                <w:rFonts w:ascii="Arial" w:cs="Arial" w:eastAsia="Arial" w:hAnsi="Arial"/>
                <w:sz w:val="21"/>
                <w:szCs w:val="21"/>
                <w:color w:val="auto"/>
                <w:vertAlign w:val="superscript"/>
              </w:rPr>
              <w:t>(a)</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6980" w:type="dxa"/>
            <w:vAlign w:val="bottom"/>
            <w:gridSpan w:val="4"/>
          </w:tcPr>
          <w:p>
            <w:pPr>
              <w:ind w:left="40"/>
              <w:spacing w:after="0"/>
              <w:rPr>
                <w:sz w:val="20"/>
                <w:szCs w:val="20"/>
                <w:color w:val="auto"/>
              </w:rPr>
            </w:pPr>
            <w:r>
              <w:rPr>
                <w:rFonts w:ascii="Arial" w:cs="Arial" w:eastAsia="Arial" w:hAnsi="Arial"/>
                <w:sz w:val="16"/>
                <w:szCs w:val="16"/>
                <w:color w:val="auto"/>
              </w:rPr>
              <w:t xml:space="preserve">T-Mobile </w:t>
            </w:r>
            <w:r>
              <w:rPr>
                <w:rFonts w:ascii="Arial" w:cs="Arial" w:eastAsia="Arial" w:hAnsi="Arial"/>
                <w:sz w:val="21"/>
                <w:szCs w:val="21"/>
                <w:color w:val="auto"/>
                <w:vertAlign w:val="superscript"/>
              </w:rPr>
              <w:t>(a)</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Verizon Wireless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58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 xml:space="preserve">Sprint </w:t>
            </w:r>
            <w:r>
              <w:rPr>
                <w:rFonts w:ascii="Arial" w:cs="Arial" w:eastAsia="Arial" w:hAnsi="Arial"/>
                <w:sz w:val="21"/>
                <w:szCs w:val="21"/>
                <w:color w:val="auto"/>
                <w:vertAlign w:val="superscript"/>
              </w:rPr>
              <w:t>(a)</w:t>
            </w:r>
          </w:p>
        </w:tc>
        <w:tc>
          <w:tcPr>
            <w:tcW w:w="1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55"/>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tcPr>
          <w:p>
            <w:pPr>
              <w:spacing w:after="0"/>
              <w:rPr>
                <w:sz w:val="10"/>
                <w:szCs w:val="10"/>
                <w:color w:val="auto"/>
              </w:rPr>
            </w:pPr>
          </w:p>
        </w:tc>
      </w:tr>
    </w:tbl>
    <w:p>
      <w:pPr>
        <w:ind w:left="340" w:hanging="332"/>
        <w:spacing w:after="0" w:line="265"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All periods presented are after giving effect to recent customer consolidation activity, including T-Mobile's acquisition of MetroPCS (completed in April 2013), Sprint's acquisition of Clearwire (completed in July 2013), and AT&amp;T's acquisition of Leap Wireless (completed in March 2014).</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Concentrations of Credit Risk</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and cash equivalents, restricted cash and trade receivables. The Company mitigates its risk with respect to cash and cash equivalents by maintaining such deposits at high credit quality financial institutions and monitoring the credit ratings of those institutions. The Company's restricted cash is predominately held and directed by a trustee (see note 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derives the largest portion of its revenues from customers in the wireless industry. The Company also has a concentration in its volume of business with AT&amp;T, T-Mobile, Verizon Wireless, and Sprint or their agents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or proactive management of past due balances.</w:t>
      </w:r>
    </w:p>
    <w:p>
      <w:pPr>
        <w:spacing w:after="0" w:line="312" w:lineRule="exact"/>
        <w:rPr>
          <w:sz w:val="20"/>
          <w:szCs w:val="20"/>
          <w:color w:val="auto"/>
        </w:rPr>
      </w:pPr>
    </w:p>
    <w:p>
      <w:pPr>
        <w:ind w:left="420" w:hanging="412"/>
        <w:spacing w:after="0"/>
        <w:tabs>
          <w:tab w:leader="none" w:pos="4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the supplemental cash flow information during the years ended December 31, 2015, 2014 and 2013.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2013</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Interest paid</w:t>
            </w:r>
          </w:p>
        </w:tc>
        <w:tc>
          <w:tcPr>
            <w:tcW w:w="9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w w:val="86"/>
              </w:rPr>
              <w:t>489,970</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491,076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477,395</w:t>
            </w:r>
          </w:p>
        </w:tc>
      </w:tr>
      <w:tr>
        <w:trPr>
          <w:trHeight w:val="33"/>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paid</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28,771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15,591</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6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for purchases of property and equipment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w w:val="95"/>
              </w:rPr>
              <w:t>Purchase of property and equipment under capital leases and installment land purchases</w:t>
            </w:r>
          </w:p>
        </w:tc>
        <w:tc>
          <w:tcPr>
            <w:tcW w:w="9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60,270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43,609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57,361</w:t>
            </w:r>
          </w:p>
        </w:tc>
      </w:tr>
      <w:tr>
        <w:trPr>
          <w:trHeight w:val="33"/>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Installment payment receivable for sale of CCAL (see note 3)</w:t>
            </w: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6"/>
              </w:rPr>
              <w:t>117,384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Summary quarterly financial information for the years ended December 31, 2015 and 2014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60"/>
        </w:trPr>
        <w:tc>
          <w:tcPr>
            <w:tcW w:w="49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4960" w:type="dxa"/>
            <w:vAlign w:val="bottom"/>
          </w:tcPr>
          <w:p>
            <w:pPr>
              <w:ind w:left="380"/>
              <w:spacing w:after="0"/>
              <w:rPr>
                <w:sz w:val="20"/>
                <w:szCs w:val="20"/>
                <w:color w:val="auto"/>
              </w:rPr>
            </w:pPr>
            <w:r>
              <w:rPr>
                <w:rFonts w:ascii="Arial" w:cs="Arial" w:eastAsia="Arial" w:hAnsi="Arial"/>
                <w:sz w:val="16"/>
                <w:szCs w:val="16"/>
                <w:color w:val="auto"/>
              </w:rPr>
              <w:t>Net 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900,471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899,437</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918,107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945,836</w:t>
            </w:r>
          </w:p>
        </w:tc>
      </w:tr>
      <w:tr>
        <w:trPr>
          <w:trHeight w:val="33"/>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244,911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240,731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229,736</w:t>
            </w:r>
          </w:p>
        </w:tc>
      </w:tr>
      <w:tr>
        <w:trPr>
          <w:trHeight w:val="224"/>
        </w:trPr>
        <w:tc>
          <w:tcPr>
            <w:tcW w:w="4960" w:type="dxa"/>
            <w:vAlign w:val="bottom"/>
          </w:tcPr>
          <w:p>
            <w:pPr>
              <w:ind w:left="380"/>
              <w:spacing w:after="0"/>
              <w:rPr>
                <w:sz w:val="20"/>
                <w:szCs w:val="20"/>
                <w:color w:val="auto"/>
              </w:rPr>
            </w:pPr>
            <w:r>
              <w:rPr>
                <w:rFonts w:ascii="Arial" w:cs="Arial" w:eastAsia="Arial" w:hAnsi="Arial"/>
                <w:sz w:val="16"/>
                <w:szCs w:val="16"/>
                <w:color w:val="auto"/>
              </w:rPr>
              <w:t>Gains (losses) on retirement of long-term obligations</w:t>
            </w:r>
          </w:p>
        </w:tc>
        <w:tc>
          <w:tcPr>
            <w:tcW w:w="2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47"/>
        </w:trPr>
        <w:tc>
          <w:tcPr>
            <w:tcW w:w="4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4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Benefit (provision) for income taxes </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4,144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3,801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42,077</w:t>
            </w:r>
          </w:p>
        </w:tc>
      </w:tr>
      <w:tr>
        <w:trPr>
          <w:trHeight w:val="224"/>
        </w:trPr>
        <w:tc>
          <w:tcPr>
            <w:tcW w:w="4960" w:type="dxa"/>
            <w:vAlign w:val="bottom"/>
          </w:tcPr>
          <w:p>
            <w:pPr>
              <w:ind w:left="380"/>
              <w:spacing w:after="0"/>
              <w:rPr>
                <w:sz w:val="20"/>
                <w:szCs w:val="20"/>
                <w:color w:val="auto"/>
              </w:rPr>
            </w:pPr>
            <w:r>
              <w:rPr>
                <w:rFonts w:ascii="Arial" w:cs="Arial" w:eastAsia="Arial" w:hAnsi="Arial"/>
                <w:sz w:val="16"/>
                <w:szCs w:val="16"/>
                <w:color w:val="auto"/>
              </w:rPr>
              <w:t>Net income (loss) attributable to CCIC stockholders</w:t>
            </w:r>
          </w:p>
        </w:tc>
        <w:tc>
          <w:tcPr>
            <w:tcW w:w="2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122,791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1,153,360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103,779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141,062</w:t>
            </w:r>
          </w:p>
        </w:tc>
      </w:tr>
      <w:tr>
        <w:trPr>
          <w:trHeight w:val="47"/>
        </w:trPr>
        <w:tc>
          <w:tcPr>
            <w:tcW w:w="4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0"/>
        </w:trPr>
        <w:tc>
          <w:tcPr>
            <w:tcW w:w="49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Net income (loss) attributable to CCIC common stockholders, per</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common share:</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7"/>
        </w:trPr>
        <w:tc>
          <w:tcPr>
            <w:tcW w:w="4960" w:type="dxa"/>
            <w:vAlign w:val="bottom"/>
          </w:tcPr>
          <w:p>
            <w:pPr>
              <w:ind w:left="9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3.43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0.39</w:t>
            </w:r>
          </w:p>
        </w:tc>
      </w:tr>
      <w:tr>
        <w:trPr>
          <w:trHeight w:val="33"/>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0.39</w:t>
            </w:r>
          </w:p>
        </w:tc>
      </w:tr>
      <w:tr>
        <w:trPr>
          <w:trHeight w:val="197"/>
        </w:trPr>
        <w:tc>
          <w:tcPr>
            <w:tcW w:w="4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3"/>
        </w:trPr>
        <w:tc>
          <w:tcPr>
            <w:tcW w:w="4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22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4960" w:type="dxa"/>
            <w:vAlign w:val="bottom"/>
          </w:tcPr>
          <w:p>
            <w:pPr>
              <w:ind w:left="40"/>
              <w:spacing w:after="0"/>
              <w:rPr>
                <w:sz w:val="20"/>
                <w:szCs w:val="20"/>
                <w:color w:val="auto"/>
              </w:rPr>
            </w:pPr>
            <w:r>
              <w:rPr>
                <w:rFonts w:ascii="Arial" w:cs="Arial" w:eastAsia="Arial" w:hAnsi="Arial"/>
                <w:sz w:val="16"/>
                <w:szCs w:val="16"/>
                <w:color w:val="auto"/>
              </w:rPr>
              <w:t>2014:</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60"/>
        </w:trPr>
        <w:tc>
          <w:tcPr>
            <w:tcW w:w="4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841,763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878,242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892,883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925,868</w:t>
            </w:r>
          </w:p>
        </w:tc>
      </w:tr>
      <w:tr>
        <w:trPr>
          <w:trHeight w:val="237"/>
        </w:trPr>
        <w:tc>
          <w:tcPr>
            <w:tcW w:w="496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2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239,207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217,178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239,052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245,245</w:t>
            </w:r>
          </w:p>
        </w:tc>
      </w:tr>
      <w:tr>
        <w:trPr>
          <w:trHeight w:val="33"/>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Gains (losses) on retirement of long-term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(44,629)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24"/>
        </w:trPr>
        <w:tc>
          <w:tcPr>
            <w:tcW w:w="4960" w:type="dxa"/>
            <w:vAlign w:val="bottom"/>
          </w:tcPr>
          <w:p>
            <w:pPr>
              <w:ind w:left="38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3,040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3,101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1,977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3,126</w:t>
            </w:r>
          </w:p>
        </w:tc>
      </w:tr>
      <w:tr>
        <w:trPr>
          <w:trHeight w:val="47"/>
        </w:trPr>
        <w:tc>
          <w:tcPr>
            <w:tcW w:w="4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 attributable to CCIC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34,009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148,070</w:t>
            </w:r>
          </w:p>
        </w:tc>
      </w:tr>
      <w:tr>
        <w:trPr>
          <w:trHeight w:val="220"/>
        </w:trPr>
        <w:tc>
          <w:tcPr>
            <w:tcW w:w="4960" w:type="dxa"/>
            <w:vAlign w:val="bottom"/>
          </w:tcPr>
          <w:p>
            <w:pPr>
              <w:ind w:left="380"/>
              <w:spacing w:after="0"/>
              <w:rPr>
                <w:sz w:val="20"/>
                <w:szCs w:val="20"/>
                <w:color w:val="auto"/>
              </w:rPr>
            </w:pPr>
            <w:r>
              <w:rPr>
                <w:rFonts w:ascii="Arial" w:cs="Arial" w:eastAsia="Arial" w:hAnsi="Arial"/>
                <w:sz w:val="16"/>
                <w:szCs w:val="16"/>
                <w:color w:val="auto"/>
                <w:w w:val="98"/>
              </w:rPr>
              <w:t>Net income (loss) attributable to CCIC common stockholders, per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960" w:type="dxa"/>
            <w:vAlign w:val="bottom"/>
          </w:tcPr>
          <w:p>
            <w:pPr>
              <w:ind w:left="540"/>
              <w:spacing w:after="0"/>
              <w:rPr>
                <w:sz w:val="20"/>
                <w:szCs w:val="20"/>
                <w:color w:val="auto"/>
              </w:rPr>
            </w:pPr>
            <w:r>
              <w:rPr>
                <w:rFonts w:ascii="Arial" w:cs="Arial" w:eastAsia="Arial" w:hAnsi="Arial"/>
                <w:sz w:val="16"/>
                <w:szCs w:val="16"/>
                <w:color w:val="auto"/>
              </w:rPr>
              <w:t>common share:</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0.07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0.41</w:t>
            </w:r>
          </w:p>
        </w:tc>
      </w:tr>
      <w:tr>
        <w:trPr>
          <w:trHeight w:val="237"/>
        </w:trPr>
        <w:tc>
          <w:tcPr>
            <w:tcW w:w="4960" w:type="dxa"/>
            <w:vAlign w:val="bottom"/>
          </w:tcPr>
          <w:p>
            <w:pPr>
              <w:ind w:left="92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132715</wp:posOffset>
            </wp:positionV>
            <wp:extent cx="1143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Inclusive of the tax adjustment of $33.8 million in conjunction with the inclusion of small cells in the REIT in January 2016 . See also notes 11 and 19.</w:t>
      </w:r>
    </w:p>
    <w:p>
      <w:pPr>
        <w:sectPr>
          <w:pgSz w:w="11900" w:h="16838" w:orient="portrait"/>
          <w:cols w:equalWidth="0" w:num="1">
            <w:col w:w="11420"/>
          </w:cols>
          <w:pgMar w:left="240" w:top="337"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337"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hanging="412"/>
        <w:spacing w:after="0"/>
        <w:tabs>
          <w:tab w:leader="none" w:pos="4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Small Cells REIT Inclusion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2016, the Company's small cells that were previously included in one or more wholly-owned TRSs are included in the REIT.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2016 Credit Facility</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21, 2016, the Company completed a new $5.5 billion Senior Unsecured Credit Facility ("2016 Credit Facility"), consisting of a $2.5 billion Senior Unsecured Revolving Credit Facility ("2016 Revolver") maturing on January 21, 2021, a $1.0 billion Senior Unsecured 364-Day Revolving Credit Facility ("364-Day Facility") maturing on January 19, 2017, and a $2.0 billion Senior Unsecured Term Loan A Facility ("2016 Term Loan A") maturing on January 21, 2021. As of February 15, 2016, the 364-Day Facility had been paid in full and terminated and there was $355 million drawn on the 2016 Revolver.</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2016 Credit Facility bears interest at a per annum rate equal to LIBOR plus 1.125% to 2.000%, based on the Company's senior unsecured debt rating.</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proceeds of the loans under the 2016 Credit Facility, together with cash on hand, were used to repay all outstanding borrowings under the previously outstanding 2012 Credit Facility.</w:t>
      </w:r>
    </w:p>
    <w:p>
      <w:pPr>
        <w:spacing w:after="0" w:line="11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credit agreement governing the Company's 2016 Credit Facility contains financial maintenance covenants. The Company is currently in compliance with these financial maintenance covenants, and based upon current expectations, the Company believes it will continue to comply with its financial maintenance covenants. In addition, certain of the Company's debt agreements also contain restrictive covenants that place restrictions on CCIC or its subsidiaries and may limit the Company's ability to, among other things, incur additional debt and liens, purchase the Company's securities, make capital expenditures, dispose of assets, undertake transactions with affiliates, make other investments, pay dividends or distribute excess cash flow.</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2016 Senior Unsecured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February 8, 2016 the Company issued $1.5 billion aggregate principal amount of investment grade senior unsecured notes ("2016 Senior Unsecured Notes"), which consist of (1) $600.0 million aggregate principal amount of 3.4% Senior Notes with a final maturity date of February 2021, and (2) $900.0 million aggregate principal amount of 4.45% Senior Notes with a final maturity date of February 2026.</w:t>
      </w:r>
    </w:p>
    <w:p>
      <w:pPr>
        <w:spacing w:after="0" w:line="12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used the net proceeds from the 2016 Senior Unsecured Notes offering, together with cash on hand, to (1) repay in full all outstanding borrowings under the 364-Day Facility (and, in connection therewith, terminate all commitments thereunder), and (2) to repay $500.0 million of outstanding borrowings under the 2016 Revolver.</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Common Stock Dividend</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February 18, 2016, the Company declared a quarterly common stock dividend of $0.885 per share, which was approved by the Company's board of directors. The common stock dividend will be paid on March 31, 2016 to common stockholders of record as of March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7" w:right="239" w:bottom="1440" w:gutter="0" w:footer="0" w:header="0"/>
        </w:sectPr>
      </w:pPr>
    </w:p>
    <w:bookmarkStart w:id="82" w:name="page83"/>
    <w:bookmarkEnd w:id="82"/>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 Conclusion Regarding the Effectiveness of Disclosure Controls and Procedures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connection with the preparation of this Annual Report on Form 10-K, as of December 31, 2015,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Securities Exchange Act of 1934 ("Exchange Act")). Based upon their evaluation, the CEO and CFO concluded that the Company's disclosure controls and procedures, as of December 31, 2015,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The Company's internal control over financial reporting is 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designed to provide reasonable assurance regarding the reliability of financial reporting and the preparation of financial statements for external purposes in accordance with U.S. generally accepted accounting principles. The Company's internal control over financial reporting includes those policies and procedures that:</w:t>
      </w:r>
    </w:p>
    <w:p>
      <w:pPr>
        <w:spacing w:after="0" w:line="135" w:lineRule="exact"/>
        <w:rPr>
          <w:sz w:val="20"/>
          <w:szCs w:val="20"/>
          <w:color w:val="auto"/>
        </w:rPr>
      </w:pPr>
    </w:p>
    <w:p>
      <w:pPr>
        <w:ind w:left="820" w:hanging="407"/>
        <w:spacing w:after="0" w:line="258" w:lineRule="auto"/>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 of management and directors of the Company; and</w:t>
      </w:r>
    </w:p>
    <w:p>
      <w:pPr>
        <w:spacing w:after="0" w:line="1"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December 31, 2015. Based on the Company's assessment, management has concluded that the Company's internal control over financial reporting was effective as of December 31, 2015 to provide reasonable assurance regarding the reliability of financial reporting and the preparation of financial statements for external reporting purposes in accordance with U.S. generally accepted accounting principles.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PricewaterhouseCoopers LLP, an independent registered public accounting firm, as stated in their report which appears herein.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 Limitations on the Effectiveness of Controls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2016 Proxy Statement and is incorporated herein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2016 Proxy Statement and is incorporated herein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2016 Proxy Statement and is incorporated herein by reference.</w:t>
      </w:r>
    </w:p>
    <w:p>
      <w:pPr>
        <w:spacing w:after="0" w:line="19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information with respect to equity compensation plans under which equity securities of the registrant are authorized for issuance as of December 31,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outstanding options,</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920" w:type="dxa"/>
            <w:vAlign w:val="bottom"/>
            <w:gridSpan w:val="2"/>
          </w:tcPr>
          <w:p>
            <w:pPr>
              <w:jc w:val="center"/>
              <w:ind w:right="266"/>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17"/>
        </w:trPr>
        <w:tc>
          <w:tcPr>
            <w:tcW w:w="880" w:type="dxa"/>
            <w:vAlign w:val="bottom"/>
            <w:gridSpan w:val="2"/>
            <w:vMerge w:val="restart"/>
          </w:tcPr>
          <w:p>
            <w:pPr>
              <w:ind w:left="40"/>
              <w:spacing w:after="0" w:line="158" w:lineRule="exact"/>
              <w:rPr>
                <w:sz w:val="20"/>
                <w:szCs w:val="20"/>
                <w:color w:val="auto"/>
              </w:rPr>
            </w:pPr>
            <w:r>
              <w:rPr>
                <w:rFonts w:ascii="Arial" w:cs="Arial" w:eastAsia="Arial" w:hAnsi="Arial"/>
                <w:sz w:val="14"/>
                <w:szCs w:val="14"/>
                <w:b w:val="1"/>
                <w:bCs w:val="1"/>
                <w:color w:val="auto"/>
                <w:w w:val="89"/>
              </w:rPr>
              <w:t>Plan category</w:t>
            </w:r>
          </w:p>
        </w:tc>
        <w:tc>
          <w:tcPr>
            <w:tcW w:w="100" w:type="dxa"/>
            <w:vAlign w:val="bottom"/>
            <w:tcBorders>
              <w:bottom w:val="single" w:sz="8" w:color="auto"/>
            </w:tcBorders>
          </w:tcPr>
          <w:p>
            <w:pPr>
              <w:spacing w:after="0" w:line="98" w:lineRule="exact"/>
              <w:rPr>
                <w:sz w:val="20"/>
                <w:szCs w:val="20"/>
                <w:color w:val="auto"/>
              </w:rPr>
            </w:pPr>
            <w:r>
              <w:rPr>
                <w:rFonts w:ascii="Arial" w:cs="Arial" w:eastAsia="Arial" w:hAnsi="Arial"/>
                <w:sz w:val="9"/>
                <w:szCs w:val="9"/>
                <w:b w:val="1"/>
                <w:bCs w:val="1"/>
                <w:color w:val="auto"/>
                <w:w w:val="72"/>
              </w:rPr>
              <w:t>(a)</w:t>
            </w:r>
          </w:p>
        </w:tc>
        <w:tc>
          <w:tcPr>
            <w:tcW w:w="32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4740" w:type="dxa"/>
            <w:vAlign w:val="bottom"/>
            <w:vMerge w:val="restart"/>
          </w:tcPr>
          <w:p>
            <w:pPr>
              <w:spacing w:after="0"/>
              <w:rPr>
                <w:sz w:val="10"/>
                <w:szCs w:val="10"/>
                <w:color w:val="auto"/>
              </w:rPr>
            </w:pPr>
          </w:p>
        </w:tc>
        <w:tc>
          <w:tcPr>
            <w:tcW w:w="1620" w:type="dxa"/>
            <w:vAlign w:val="bottom"/>
            <w:gridSpan w:val="2"/>
            <w:vMerge w:val="restart"/>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140" w:type="dxa"/>
            <w:vAlign w:val="bottom"/>
          </w:tcPr>
          <w:p>
            <w:pPr>
              <w:spacing w:after="0"/>
              <w:rPr>
                <w:sz w:val="10"/>
                <w:szCs w:val="10"/>
                <w:color w:val="auto"/>
              </w:rPr>
            </w:pPr>
          </w:p>
        </w:tc>
        <w:tc>
          <w:tcPr>
            <w:tcW w:w="1560" w:type="dxa"/>
            <w:vAlign w:val="bottom"/>
            <w:gridSpan w:val="2"/>
            <w:vMerge w:val="restart"/>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90"/>
              </w:rPr>
              <w:t>future issuance</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740" w:type="dxa"/>
            <w:vAlign w:val="bottom"/>
            <w:vMerge w:val="continue"/>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(In shares)</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(In dollars</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shares)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12,297,463</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37"/>
        </w:trPr>
        <w:tc>
          <w:tcPr>
            <w:tcW w:w="6180" w:type="dxa"/>
            <w:vAlign w:val="bottom"/>
            <w:gridSpan w:val="6"/>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162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12,297,463</w:t>
            </w: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See note 13 to the consolidated financial statements for more detailed information regarding the registrant's equity compensation plans.</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Of these shares remaining available for future issuance, 1,776,840 may be issued pursuant to outstanding RSUs granted under the LTI Plan.</w:t>
      </w:r>
    </w:p>
    <w:p>
      <w:pPr>
        <w:spacing w:after="0" w:line="3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2016 Proxy Statement and is incorporated herein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(a)(1) Financial Statements:</w:t>
      </w:r>
    </w:p>
    <w:p>
      <w:pPr>
        <w:spacing w:after="0" w:line="337"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The list of financial statements filed as part of this report is submitted as a separate section, the index to which is located on page </w:t>
      </w:r>
      <w:hyperlink w:anchor="page46">
        <w:r>
          <w:rPr>
            <w:rFonts w:ascii="Arial" w:cs="Arial" w:eastAsia="Arial" w:hAnsi="Arial"/>
            <w:sz w:val="18"/>
            <w:szCs w:val="18"/>
            <w:color w:val="auto"/>
          </w:rPr>
          <w:t>42.</w:t>
        </w:r>
      </w:hyperlink>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(a)(2) Financial Statement Schedules: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II—Valuation and Qualifying Accounts follows this Part IV.</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III—Schedule of Real Estate and Accumulated Depreciation.</w:t>
      </w:r>
    </w:p>
    <w:p>
      <w:pPr>
        <w:spacing w:after="0" w:line="171"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contained in the financial statements or notes thereto included in this Form 10-K.</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list of exhibits set forth in the accompanying Exhibit Index is incorporated by reference into this Item 15(a)(3).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ind w:left="3020"/>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17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w w:val="86"/>
              </w:rPr>
              <w:t>Deductions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Credited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Effect of</w:t>
            </w:r>
          </w:p>
        </w:tc>
        <w:tc>
          <w:tcPr>
            <w:tcW w:w="140" w:type="dxa"/>
            <w:vAlign w:val="bottom"/>
          </w:tcPr>
          <w:p>
            <w:pPr>
              <w:spacing w:after="0"/>
              <w:rPr>
                <w:sz w:val="12"/>
                <w:szCs w:val="12"/>
                <w:color w:val="auto"/>
              </w:rPr>
            </w:pPr>
          </w:p>
        </w:tc>
        <w:tc>
          <w:tcPr>
            <w:tcW w:w="880" w:type="dxa"/>
            <w:vAlign w:val="bottom"/>
          </w:tcPr>
          <w:p>
            <w:pPr>
              <w:jc w:val="center"/>
              <w:ind w:right="79"/>
              <w:spacing w:after="0" w:line="13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Written Off</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 Year</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14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Changes</w:t>
            </w:r>
          </w:p>
        </w:tc>
        <w:tc>
          <w:tcPr>
            <w:tcW w:w="14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3"/>
              </w:rPr>
              <w:t>Allowance for Doubtful Accounts Receivable: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tcPr>
          <w:p>
            <w:pPr>
              <w:jc w:val="right"/>
              <w:ind w:right="283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10,037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2,958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62"/>
        </w:trPr>
        <w:tc>
          <w:tcPr>
            <w:tcW w:w="3780" w:type="dxa"/>
            <w:vAlign w:val="bottom"/>
            <w:tcBorders>
              <w:bottom w:val="single" w:sz="8" w:color="CCEEFF"/>
            </w:tcBorders>
            <w:shd w:val="clear" w:color="auto" w:fill="CCEEFF"/>
          </w:tcPr>
          <w:p>
            <w:pPr>
              <w:jc w:val="right"/>
              <w:ind w:right="2830"/>
              <w:spacing w:after="0" w:line="203" w:lineRule="exact"/>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Arial" w:cs="Arial" w:eastAsia="Arial" w:hAnsi="Arial"/>
                <w:sz w:val="18"/>
                <w:szCs w:val="18"/>
                <w:color w:val="auto"/>
              </w:rPr>
              <w:t>2013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Credited to</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Charged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Paid-in Capital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Credited to</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Other</w:t>
            </w:r>
          </w:p>
        </w:tc>
        <w:tc>
          <w:tcPr>
            <w:tcW w:w="18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Year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Operations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(a)</w:t>
            </w:r>
          </w:p>
        </w:tc>
        <w:tc>
          <w:tcPr>
            <w:tcW w:w="14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15"/>
        </w:trPr>
        <w:tc>
          <w:tcPr>
            <w:tcW w:w="23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Valuation</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Allowance:</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21,038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(16,208)</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67"/>
        </w:trPr>
        <w:tc>
          <w:tcPr>
            <w:tcW w:w="13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21,038</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70,940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(42,219)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27,264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Inclusive of (1) the effects of acquisitions, (2) the REIT conversion, and (3) the inclusion of small cells in the REIT in January 2016.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ind w:left="3020"/>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SCHEDULE III—SCHEDULE OF REAL ESTATE AND ACCUMULATED DEPRECIATION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color w:val="auto"/>
                <w:w w:val="96"/>
              </w:rPr>
              <w:t>Accumulated</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Life on which</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vMerge w:val="restart"/>
          </w:tcPr>
          <w:p>
            <w:pPr>
              <w:jc w:val="center"/>
              <w:ind w:left="15"/>
              <w:spacing w:after="0" w:line="149" w:lineRule="exact"/>
              <w:rPr>
                <w:sz w:val="20"/>
                <w:szCs w:val="20"/>
                <w:color w:val="auto"/>
              </w:rPr>
            </w:pPr>
            <w:r>
              <w:rPr>
                <w:rFonts w:ascii="Arial" w:cs="Arial" w:eastAsia="Arial" w:hAnsi="Arial"/>
                <w:sz w:val="14"/>
                <w:szCs w:val="14"/>
                <w:color w:val="auto"/>
                <w:w w:val="93"/>
              </w:rPr>
              <w:t>Cost capitalized</w:t>
            </w:r>
          </w:p>
        </w:tc>
        <w:tc>
          <w:tcPr>
            <w:tcW w:w="180" w:type="dxa"/>
            <w:vAlign w:val="bottom"/>
          </w:tcPr>
          <w:p>
            <w:pPr>
              <w:spacing w:after="0"/>
              <w:rPr>
                <w:sz w:val="5"/>
                <w:szCs w:val="5"/>
                <w:color w:val="auto"/>
              </w:rPr>
            </w:pPr>
          </w:p>
        </w:tc>
        <w:tc>
          <w:tcPr>
            <w:tcW w:w="1300" w:type="dxa"/>
            <w:vAlign w:val="bottom"/>
            <w:vMerge w:val="restart"/>
          </w:tcPr>
          <w:p>
            <w:pPr>
              <w:jc w:val="center"/>
              <w:ind w:right="348"/>
              <w:spacing w:after="0" w:line="149" w:lineRule="exact"/>
              <w:rPr>
                <w:sz w:val="20"/>
                <w:szCs w:val="20"/>
                <w:color w:val="auto"/>
              </w:rPr>
            </w:pPr>
            <w:r>
              <w:rPr>
                <w:rFonts w:ascii="Arial" w:cs="Arial" w:eastAsia="Arial" w:hAnsi="Arial"/>
                <w:sz w:val="14"/>
                <w:szCs w:val="14"/>
                <w:color w:val="auto"/>
                <w:w w:val="90"/>
              </w:rPr>
              <w:t>Gross amount</w:t>
            </w: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4"/>
              </w:rPr>
              <w:t>depreciation in</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Initial cost to</w:t>
            </w:r>
          </w:p>
        </w:tc>
        <w:tc>
          <w:tcPr>
            <w:tcW w:w="11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restart"/>
          </w:tcPr>
          <w:p>
            <w:pPr>
              <w:jc w:val="center"/>
              <w:ind w:right="128"/>
              <w:spacing w:after="0" w:line="149" w:lineRule="exact"/>
              <w:rPr>
                <w:sz w:val="20"/>
                <w:szCs w:val="20"/>
                <w:color w:val="auto"/>
              </w:rPr>
            </w:pPr>
            <w:r>
              <w:rPr>
                <w:rFonts w:ascii="Arial" w:cs="Arial" w:eastAsia="Arial" w:hAnsi="Arial"/>
                <w:sz w:val="14"/>
                <w:szCs w:val="14"/>
                <w:color w:val="auto"/>
                <w:w w:val="93"/>
              </w:rPr>
              <w:t>depreciation at</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Date of</w:t>
            </w:r>
          </w:p>
        </w:tc>
        <w:tc>
          <w:tcPr>
            <w:tcW w:w="11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ind w:left="8"/>
              <w:spacing w:after="0" w:line="149" w:lineRule="exact"/>
              <w:rPr>
                <w:sz w:val="20"/>
                <w:szCs w:val="20"/>
                <w:color w:val="auto"/>
              </w:rPr>
            </w:pPr>
            <w:r>
              <w:rPr>
                <w:rFonts w:ascii="Arial" w:cs="Arial" w:eastAsia="Arial" w:hAnsi="Arial"/>
                <w:sz w:val="14"/>
                <w:szCs w:val="14"/>
                <w:color w:val="auto"/>
                <w:w w:val="97"/>
              </w:rPr>
              <w:t>Description</w:t>
            </w:r>
          </w:p>
        </w:tc>
        <w:tc>
          <w:tcPr>
            <w:tcW w:w="240" w:type="dxa"/>
            <w:vAlign w:val="bottom"/>
          </w:tcPr>
          <w:p>
            <w:pPr>
              <w:spacing w:after="0"/>
              <w:rPr>
                <w:sz w:val="5"/>
                <w:szCs w:val="5"/>
                <w:color w:val="auto"/>
              </w:rPr>
            </w:pPr>
          </w:p>
        </w:tc>
        <w:tc>
          <w:tcPr>
            <w:tcW w:w="1120" w:type="dxa"/>
            <w:vAlign w:val="bottom"/>
            <w:vMerge w:val="restart"/>
          </w:tcPr>
          <w:p>
            <w:pPr>
              <w:jc w:val="right"/>
              <w:ind w:right="128"/>
              <w:spacing w:after="0" w:line="149" w:lineRule="exact"/>
              <w:rPr>
                <w:sz w:val="20"/>
                <w:szCs w:val="20"/>
                <w:color w:val="auto"/>
              </w:rPr>
            </w:pPr>
            <w:r>
              <w:rPr>
                <w:rFonts w:ascii="Arial" w:cs="Arial" w:eastAsia="Arial" w:hAnsi="Arial"/>
                <w:sz w:val="14"/>
                <w:szCs w:val="14"/>
                <w:color w:val="auto"/>
                <w:w w:val="96"/>
              </w:rPr>
              <w:t>Encumbrances</w:t>
            </w: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8"/>
              </w:rPr>
              <w:t>subsequent to</w:t>
            </w:r>
          </w:p>
        </w:tc>
        <w:tc>
          <w:tcPr>
            <w:tcW w:w="1480" w:type="dxa"/>
            <w:vAlign w:val="bottom"/>
            <w:gridSpan w:val="2"/>
            <w:vMerge w:val="restart"/>
          </w:tcPr>
          <w:p>
            <w:pPr>
              <w:jc w:val="center"/>
              <w:ind w:right="168"/>
              <w:spacing w:after="0" w:line="149" w:lineRule="exact"/>
              <w:rPr>
                <w:sz w:val="20"/>
                <w:szCs w:val="20"/>
                <w:color w:val="auto"/>
              </w:rPr>
            </w:pPr>
            <w:r>
              <w:rPr>
                <w:rFonts w:ascii="Arial" w:cs="Arial" w:eastAsia="Arial" w:hAnsi="Arial"/>
                <w:sz w:val="14"/>
                <w:szCs w:val="14"/>
                <w:color w:val="auto"/>
                <w:w w:val="94"/>
              </w:rPr>
              <w:t>carried at close of</w:t>
            </w: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Date acquired</w:t>
            </w: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latest income</w:t>
            </w:r>
          </w:p>
        </w:tc>
        <w:tc>
          <w:tcPr>
            <w:tcW w:w="0" w:type="dxa"/>
            <w:vAlign w:val="bottom"/>
          </w:tcPr>
          <w:p>
            <w:pPr>
              <w:spacing w:after="0"/>
              <w:rPr>
                <w:sz w:val="1"/>
                <w:szCs w:val="1"/>
                <w:color w:val="auto"/>
              </w:rPr>
            </w:pPr>
          </w:p>
        </w:tc>
      </w:tr>
      <w:tr>
        <w:trPr>
          <w:trHeight w:val="81"/>
        </w:trPr>
        <w:tc>
          <w:tcPr>
            <w:tcW w:w="12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4"/>
              </w:rPr>
              <w:t>company</w:t>
            </w:r>
          </w:p>
        </w:tc>
        <w:tc>
          <w:tcPr>
            <w:tcW w:w="1120" w:type="dxa"/>
            <w:vAlign w:val="bottom"/>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restart"/>
          </w:tcPr>
          <w:p>
            <w:pPr>
              <w:jc w:val="center"/>
              <w:ind w:right="128"/>
              <w:spacing w:after="0" w:line="149" w:lineRule="exact"/>
              <w:rPr>
                <w:sz w:val="20"/>
                <w:szCs w:val="20"/>
                <w:color w:val="auto"/>
              </w:rPr>
            </w:pPr>
            <w:r>
              <w:rPr>
                <w:rFonts w:ascii="Arial" w:cs="Arial" w:eastAsia="Arial" w:hAnsi="Arial"/>
                <w:sz w:val="14"/>
                <w:szCs w:val="14"/>
                <w:color w:val="auto"/>
                <w:w w:val="93"/>
              </w:rPr>
              <w:t>close of current</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construction</w:t>
            </w:r>
          </w:p>
        </w:tc>
        <w:tc>
          <w:tcPr>
            <w:tcW w:w="116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3"/>
              </w:rPr>
              <w:t>acquisition</w:t>
            </w:r>
          </w:p>
        </w:tc>
        <w:tc>
          <w:tcPr>
            <w:tcW w:w="180" w:type="dxa"/>
            <w:vAlign w:val="bottom"/>
          </w:tcPr>
          <w:p>
            <w:pPr>
              <w:spacing w:after="0"/>
              <w:rPr>
                <w:sz w:val="5"/>
                <w:szCs w:val="5"/>
                <w:color w:val="auto"/>
              </w:rPr>
            </w:pPr>
          </w:p>
        </w:tc>
        <w:tc>
          <w:tcPr>
            <w:tcW w:w="1300" w:type="dxa"/>
            <w:vAlign w:val="bottom"/>
            <w:vMerge w:val="restart"/>
          </w:tcPr>
          <w:p>
            <w:pPr>
              <w:jc w:val="center"/>
              <w:ind w:right="348"/>
              <w:spacing w:after="0" w:line="149" w:lineRule="exact"/>
              <w:rPr>
                <w:sz w:val="20"/>
                <w:szCs w:val="20"/>
                <w:color w:val="auto"/>
              </w:rPr>
            </w:pPr>
            <w:r>
              <w:rPr>
                <w:rFonts w:ascii="Arial" w:cs="Arial" w:eastAsia="Arial" w:hAnsi="Arial"/>
                <w:sz w:val="14"/>
                <w:szCs w:val="14"/>
                <w:color w:val="auto"/>
                <w:w w:val="92"/>
              </w:rPr>
              <w:t>current period</w:t>
            </w: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0"/>
              </w:rPr>
              <w:t>statement is</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color w:val="auto"/>
                <w:w w:val="97"/>
              </w:rPr>
              <w:t>period</w:t>
            </w: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4"/>
              </w:rPr>
              <w:t>computed</w:t>
            </w:r>
          </w:p>
        </w:tc>
        <w:tc>
          <w:tcPr>
            <w:tcW w:w="0" w:type="dxa"/>
            <w:vAlign w:val="bottom"/>
          </w:tcPr>
          <w:p>
            <w:pPr>
              <w:spacing w:after="0"/>
              <w:rPr>
                <w:sz w:val="1"/>
                <w:szCs w:val="1"/>
                <w:color w:val="auto"/>
              </w:rPr>
            </w:pPr>
          </w:p>
        </w:tc>
      </w:tr>
      <w:tr>
        <w:trPr>
          <w:trHeight w:val="87"/>
        </w:trPr>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2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39,697 towers</w:t>
            </w:r>
            <w:r>
              <w:rPr>
                <w:rFonts w:ascii="Arial" w:cs="Arial" w:eastAsia="Arial" w:hAnsi="Arial"/>
                <w:sz w:val="8"/>
                <w:szCs w:val="8"/>
                <w:color w:val="auto"/>
                <w:w w:val="94"/>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9,752,747</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w:t>
            </w:r>
          </w:p>
        </w:tc>
        <w:tc>
          <w:tcPr>
            <w:tcW w:w="1020" w:type="dxa"/>
            <w:vAlign w:val="bottom"/>
            <w:shd w:val="clear" w:color="auto" w:fill="CCEEFF"/>
          </w:tcPr>
          <w:p>
            <w:pPr>
              <w:jc w:val="right"/>
              <w:ind w:right="397"/>
              <w:spacing w:after="0"/>
              <w:rPr>
                <w:sz w:val="20"/>
                <w:szCs w:val="20"/>
                <w:color w:val="auto"/>
              </w:rPr>
            </w:pPr>
            <w:r>
              <w:rPr>
                <w:rFonts w:ascii="Arial" w:cs="Arial" w:eastAsia="Arial" w:hAnsi="Arial"/>
                <w:sz w:val="9"/>
                <w:szCs w:val="9"/>
                <w:color w:val="auto"/>
              </w:rPr>
              <w:t>(3)</w:t>
            </w:r>
          </w:p>
        </w:tc>
        <w:tc>
          <w:tcPr>
            <w:tcW w:w="1120" w:type="dxa"/>
            <w:vAlign w:val="bottom"/>
            <w:shd w:val="clear" w:color="auto" w:fill="CCEEFF"/>
          </w:tcPr>
          <w:p>
            <w:pPr>
              <w:jc w:val="right"/>
              <w:ind w:right="435"/>
              <w:spacing w:after="0"/>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xml:space="preserve">15,110,835   </w:t>
            </w:r>
            <w:r>
              <w:rPr>
                <w:rFonts w:ascii="Arial" w:cs="Arial" w:eastAsia="Arial" w:hAnsi="Arial"/>
                <w:sz w:val="8"/>
                <w:szCs w:val="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(5,648,598)</w:t>
            </w:r>
          </w:p>
        </w:tc>
        <w:tc>
          <w:tcPr>
            <w:tcW w:w="104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Various</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Up to 20 years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Amount is exclusive of small cell nodes. No single tower exceeds 5% of the aggregate gross amounts at which the assets were carried at the close of the period set forth in the table above.</w:t>
      </w:r>
    </w:p>
    <w:p>
      <w:pPr>
        <w:spacing w:after="0" w:line="24" w:lineRule="exact"/>
        <w:rPr>
          <w:rFonts w:ascii="Arial" w:cs="Arial" w:eastAsia="Arial" w:hAnsi="Arial"/>
          <w:sz w:val="13"/>
          <w:szCs w:val="13"/>
          <w:color w:val="auto"/>
        </w:rPr>
      </w:pPr>
    </w:p>
    <w:p>
      <w:pPr>
        <w:ind w:left="340" w:right="160" w:hanging="332"/>
        <w:spacing w:after="0" w:line="281" w:lineRule="auto"/>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As of December 31, 2015, $5.7 billion of the Company's debt is secured by (1) a security interest in substantially all of the applicable issuers' assignable personal property, (2) a pledge of the equity interests in each applicable issuer, and (3) a security interest in the applicable issuers' leases with tenants to lease tower space (space licenses). In addition, the 2012 Credit Facility is secured by a pledge of certain equity interests of certain subsidiaries of CCIC, as well as a security interest in CCOC's and certain of its subsidiaries' deposit accounts and securities accounts.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Company has omitted this information, as it would be impracticable to compile such information on a tower-by-tower basis.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Does not include those towers under construction.</w:t>
      </w:r>
    </w:p>
    <w:p>
      <w:pPr>
        <w:spacing w:after="0" w:line="37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95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r>
      <w:tr>
        <w:trPr>
          <w:trHeight w:val="216"/>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at beginning</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13,795,914</w:t>
            </w:r>
          </w:p>
        </w:tc>
      </w:tr>
      <w:tr>
        <w:trPr>
          <w:trHeight w:val="264"/>
        </w:trPr>
        <w:tc>
          <w:tcPr>
            <w:tcW w:w="954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2"/>
        </w:trPr>
        <w:tc>
          <w:tcPr>
            <w:tcW w:w="9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Acquisitions through foreclosure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10"/>
        </w:trPr>
        <w:tc>
          <w:tcPr>
            <w:tcW w:w="9540" w:type="dxa"/>
            <w:vAlign w:val="bottom"/>
          </w:tcPr>
          <w:p>
            <w:pPr>
              <w:ind w:left="600"/>
              <w:spacing w:after="0"/>
              <w:rPr>
                <w:sz w:val="20"/>
                <w:szCs w:val="20"/>
                <w:color w:val="auto"/>
              </w:rPr>
            </w:pPr>
            <w:r>
              <w:rPr>
                <w:rFonts w:ascii="Arial" w:cs="Arial" w:eastAsia="Arial" w:hAnsi="Arial"/>
                <w:sz w:val="14"/>
                <w:szCs w:val="14"/>
                <w:color w:val="auto"/>
              </w:rPr>
              <w:t xml:space="preserve">Other acquisitions </w:t>
            </w:r>
            <w:r>
              <w:rPr>
                <w:rFonts w:ascii="Arial" w:cs="Arial" w:eastAsia="Arial" w:hAnsi="Arial"/>
                <w:sz w:val="8"/>
                <w:szCs w:val="8"/>
                <w:color w:val="auto"/>
              </w:rPr>
              <w:t>(1)(2)</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424,919</w:t>
            </w:r>
          </w:p>
        </w:tc>
      </w:tr>
      <w:tr>
        <w:trPr>
          <w:trHeight w:val="222"/>
        </w:trPr>
        <w:tc>
          <w:tcPr>
            <w:tcW w:w="9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Wireless infrastructure construction and improvements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713,465</w:t>
            </w:r>
          </w:p>
        </w:tc>
      </w:tr>
      <w:tr>
        <w:trPr>
          <w:trHeight w:val="204"/>
        </w:trPr>
        <w:tc>
          <w:tcPr>
            <w:tcW w:w="9540" w:type="dxa"/>
            <w:vAlign w:val="bottom"/>
          </w:tcPr>
          <w:p>
            <w:pPr>
              <w:ind w:left="600"/>
              <w:spacing w:after="0"/>
              <w:rPr>
                <w:sz w:val="20"/>
                <w:szCs w:val="20"/>
                <w:color w:val="auto"/>
              </w:rPr>
            </w:pPr>
            <w:r>
              <w:rPr>
                <w:rFonts w:ascii="Arial" w:cs="Arial" w:eastAsia="Arial" w:hAnsi="Arial"/>
                <w:sz w:val="14"/>
                <w:szCs w:val="14"/>
                <w:color w:val="auto"/>
              </w:rPr>
              <w:t>Purchase of land interests</w:t>
            </w:r>
          </w:p>
        </w:tc>
        <w:tc>
          <w:tcPr>
            <w:tcW w:w="36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90,496</w:t>
            </w:r>
          </w:p>
        </w:tc>
      </w:tr>
      <w:tr>
        <w:trPr>
          <w:trHeight w:val="222"/>
        </w:trPr>
        <w:tc>
          <w:tcPr>
            <w:tcW w:w="9540" w:type="dxa"/>
            <w:vAlign w:val="bottom"/>
          </w:tcPr>
          <w:p>
            <w:pPr>
              <w:ind w:left="600"/>
              <w:spacing w:after="0"/>
              <w:rPr>
                <w:sz w:val="20"/>
                <w:szCs w:val="20"/>
                <w:color w:val="auto"/>
              </w:rPr>
            </w:pPr>
            <w:r>
              <w:rPr>
                <w:rFonts w:ascii="Arial" w:cs="Arial" w:eastAsia="Arial" w:hAnsi="Arial"/>
                <w:sz w:val="14"/>
                <w:szCs w:val="14"/>
                <w:color w:val="auto"/>
              </w:rPr>
              <w:t>Sustaining capital expenditures</w:t>
            </w:r>
          </w:p>
        </w:tc>
        <w:tc>
          <w:tcPr>
            <w:tcW w:w="360" w:type="dxa"/>
            <w:vAlign w:val="bottom"/>
          </w:tcPr>
          <w:p>
            <w:pPr>
              <w:spacing w:after="0"/>
              <w:rPr>
                <w:sz w:val="19"/>
                <w:szCs w:val="19"/>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75,888</w:t>
            </w:r>
          </w:p>
        </w:tc>
      </w:tr>
      <w:tr>
        <w:trPr>
          <w:trHeight w:val="216"/>
        </w:trPr>
        <w:tc>
          <w:tcPr>
            <w:tcW w:w="9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(3)</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61,801</w:t>
            </w:r>
          </w:p>
        </w:tc>
      </w:tr>
      <w:tr>
        <w:trPr>
          <w:trHeight w:val="210"/>
        </w:trPr>
        <w:tc>
          <w:tcPr>
            <w:tcW w:w="9540" w:type="dxa"/>
            <w:vAlign w:val="bottom"/>
          </w:tcPr>
          <w:p>
            <w:pPr>
              <w:ind w:left="20"/>
              <w:spacing w:after="0"/>
              <w:rPr>
                <w:sz w:val="20"/>
                <w:szCs w:val="20"/>
                <w:color w:val="auto"/>
              </w:rPr>
            </w:pPr>
            <w:r>
              <w:rPr>
                <w:rFonts w:ascii="Arial" w:cs="Arial" w:eastAsia="Arial" w:hAnsi="Arial"/>
                <w:sz w:val="14"/>
                <w:szCs w:val="14"/>
                <w:color w:val="auto"/>
              </w:rPr>
              <w:t>Total additions</w:t>
            </w: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1,366,569</w:t>
            </w:r>
          </w:p>
        </w:tc>
      </w:tr>
      <w:tr>
        <w:trPr>
          <w:trHeight w:val="276"/>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Deductions during period:</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97"/>
        </w:trPr>
        <w:tc>
          <w:tcPr>
            <w:tcW w:w="9540" w:type="dxa"/>
            <w:vAlign w:val="bottom"/>
          </w:tcPr>
          <w:p>
            <w:pPr>
              <w:ind w:left="600"/>
              <w:spacing w:after="0"/>
              <w:rPr>
                <w:sz w:val="20"/>
                <w:szCs w:val="20"/>
                <w:color w:val="auto"/>
              </w:rPr>
            </w:pPr>
            <w:r>
              <w:rPr>
                <w:rFonts w:ascii="Arial" w:cs="Arial" w:eastAsia="Arial" w:hAnsi="Arial"/>
                <w:sz w:val="14"/>
                <w:szCs w:val="14"/>
                <w:color w:val="auto"/>
              </w:rPr>
              <w:t>Cost of real estate sold or disposed</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(51,648)</w:t>
            </w:r>
          </w:p>
        </w:tc>
      </w:tr>
      <w:tr>
        <w:trPr>
          <w:trHeight w:val="216"/>
        </w:trPr>
        <w:tc>
          <w:tcPr>
            <w:tcW w:w="9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96"/>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deductions: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(51,648)</w:t>
            </w:r>
          </w:p>
        </w:tc>
      </w:tr>
      <w:tr>
        <w:trPr>
          <w:trHeight w:val="216"/>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15,110,835</w:t>
            </w:r>
          </w:p>
        </w:tc>
      </w:tr>
      <w:tr>
        <w:trPr>
          <w:trHeight w:val="20"/>
        </w:trPr>
        <w:tc>
          <w:tcPr>
            <w:tcW w:w="9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1">
            <w:col w:w="11420"/>
          </w:cols>
          <w:pgMar w:left="240" w:top="283" w:right="239" w:bottom="1440" w:gutter="0" w:footer="0" w:header="0"/>
        </w:sectPr>
      </w:pPr>
    </w:p>
    <w:p>
      <w:pPr>
        <w:ind w:left="340" w:hanging="332"/>
        <w:spacing w:after="0"/>
        <w:tabs>
          <w:tab w:leader="none" w:pos="3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Inclusive of changes between the final purchase price allocation and the preliminary purchase price allocations.</w:t>
      </w:r>
    </w:p>
    <w:p>
      <w:pPr>
        <w:spacing w:after="0" w:line="24" w:lineRule="exact"/>
        <w:rPr>
          <w:rFonts w:ascii="Arial" w:cs="Arial" w:eastAsia="Arial" w:hAnsi="Arial"/>
          <w:sz w:val="13"/>
          <w:szCs w:val="13"/>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acquisitions of wireless infrastructure.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Predominately relates to the purchase of property and equipment under capital leases and installment land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482600</wp:posOffset>
            </wp:positionV>
            <wp:extent cx="703199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19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Gross amount of accumulated depreciation at beginning</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Additions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20955</wp:posOffset>
            </wp:positionV>
            <wp:extent cx="703199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1990" cy="128905"/>
                    </a:xfrm>
                    <a:prstGeom prst="rect">
                      <a:avLst/>
                    </a:prstGeom>
                    <a:noFill/>
                  </pic:spPr>
                </pic:pic>
              </a:graphicData>
            </a:graphic>
          </wp:anchor>
        </w:drawing>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4"/>
          <w:szCs w:val="14"/>
          <w:color w:val="auto"/>
        </w:rPr>
        <w:t>Depreciation</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20955</wp:posOffset>
            </wp:positionV>
            <wp:extent cx="703199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Deductions during period:</w:t>
      </w:r>
    </w:p>
    <w:p>
      <w:pPr>
        <w:spacing w:after="0" w:line="5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Amount for assets sold or disposed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20955</wp:posOffset>
            </wp:positionV>
            <wp:extent cx="703199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1990" cy="137160"/>
                    </a:xfrm>
                    <a:prstGeom prst="rect">
                      <a:avLst/>
                    </a:prstGeom>
                    <a:noFill/>
                  </pic:spPr>
                </pic:pic>
              </a:graphicData>
            </a:graphic>
          </wp:anchor>
        </w:drawing>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Other</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20955</wp:posOffset>
            </wp:positionV>
            <wp:extent cx="703199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1990"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Balance at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7"/>
        <w:spacing w:after="0"/>
        <w:rPr>
          <w:sz w:val="20"/>
          <w:szCs w:val="20"/>
          <w:color w:val="auto"/>
        </w:rPr>
      </w:pPr>
      <w:r>
        <w:rPr>
          <w:rFonts w:ascii="Arial" w:cs="Arial" w:eastAsia="Arial" w:hAnsi="Arial"/>
          <w:sz w:val="14"/>
          <w:szCs w:val="14"/>
          <w:b w:val="1"/>
          <w:bCs w:val="1"/>
          <w:color w:val="auto"/>
        </w:rPr>
        <w:t>2015</w:t>
      </w:r>
    </w:p>
    <w:p>
      <w:pPr>
        <w:spacing w:after="0" w:line="59" w:lineRule="exact"/>
        <w:rPr>
          <w:sz w:val="20"/>
          <w:szCs w:val="20"/>
          <w:color w:val="auto"/>
        </w:rPr>
      </w:pPr>
    </w:p>
    <w:p>
      <w:pPr>
        <w:ind w:left="887" w:hanging="887"/>
        <w:spacing w:after="0"/>
        <w:tabs>
          <w:tab w:leader="none" w:pos="887" w:val="left"/>
        </w:tabs>
        <w:numPr>
          <w:ilvl w:val="0"/>
          <w:numId w:val="87"/>
        </w:numPr>
        <w:rPr>
          <w:rFonts w:ascii="Arial" w:cs="Arial" w:eastAsia="Arial" w:hAnsi="Arial"/>
          <w:sz w:val="13"/>
          <w:szCs w:val="13"/>
          <w:color w:val="auto"/>
        </w:rPr>
      </w:pPr>
      <w:r>
        <w:rPr>
          <w:rFonts w:ascii="Arial" w:cs="Arial" w:eastAsia="Arial" w:hAnsi="Arial"/>
          <w:sz w:val="13"/>
          <w:szCs w:val="13"/>
          <w:color w:val="auto"/>
        </w:rPr>
        <w:t>(4,917,542)</w:t>
      </w:r>
    </w:p>
    <w:p>
      <w:pPr>
        <w:spacing w:after="0" w:line="32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(759,332)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10464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(759,332)</w:t>
      </w:r>
    </w:p>
    <w:p>
      <w:pPr>
        <w:spacing w:after="0" w:line="325"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23,946</w:t>
      </w:r>
    </w:p>
    <w:p>
      <w:pPr>
        <w:spacing w:after="0" w:line="55"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10464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49" w:lineRule="exact"/>
        <w:rPr>
          <w:sz w:val="20"/>
          <w:szCs w:val="20"/>
          <w:color w:val="auto"/>
        </w:rPr>
      </w:pPr>
    </w:p>
    <w:p>
      <w:pPr>
        <w:ind w:left="1107"/>
        <w:spacing w:after="0"/>
        <w:rPr>
          <w:sz w:val="20"/>
          <w:szCs w:val="20"/>
          <w:color w:val="auto"/>
        </w:rPr>
      </w:pPr>
      <w:r>
        <w:rPr>
          <w:rFonts w:ascii="Arial" w:cs="Arial" w:eastAsia="Arial" w:hAnsi="Arial"/>
          <w:sz w:val="14"/>
          <w:szCs w:val="14"/>
          <w:color w:val="auto"/>
        </w:rPr>
        <w:t>28,276</w:t>
      </w:r>
    </w:p>
    <w:p>
      <w:pPr>
        <w:spacing w:after="0" w:line="55" w:lineRule="exact"/>
        <w:rPr>
          <w:sz w:val="20"/>
          <w:szCs w:val="20"/>
          <w:color w:val="auto"/>
        </w:rPr>
      </w:pPr>
    </w:p>
    <w:p>
      <w:pPr>
        <w:ind w:left="887" w:hanging="887"/>
        <w:spacing w:after="0"/>
        <w:tabs>
          <w:tab w:leader="none" w:pos="887" w:val="left"/>
        </w:tabs>
        <w:numPr>
          <w:ilvl w:val="0"/>
          <w:numId w:val="88"/>
        </w:numPr>
        <w:rPr>
          <w:rFonts w:ascii="Arial" w:cs="Arial" w:eastAsia="Arial" w:hAnsi="Arial"/>
          <w:sz w:val="13"/>
          <w:szCs w:val="13"/>
          <w:color w:val="auto"/>
        </w:rPr>
      </w:pPr>
      <w:r>
        <w:rPr>
          <w:rFonts w:ascii="Arial" w:cs="Arial" w:eastAsia="Arial" w:hAnsi="Arial"/>
          <w:sz w:val="13"/>
          <w:szCs w:val="13"/>
          <w:color w:val="auto"/>
        </w:rPr>
        <w:t>(5,648,598)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10464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073" w:space="720"/>
            <w:col w:w="1627"/>
          </w:cols>
          <w:pgMar w:left="240" w:top="283" w:right="2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283" w:right="2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860"/>
              <w:spacing w:after="0"/>
              <w:rPr>
                <w:sz w:val="20"/>
                <w:szCs w:val="20"/>
                <w:color w:val="auto"/>
              </w:rPr>
            </w:pPr>
            <w:r>
              <w:rPr>
                <w:rFonts w:ascii="Arial" w:cs="Arial" w:eastAsia="Arial" w:hAnsi="Arial"/>
                <w:sz w:val="18"/>
                <w:szCs w:val="18"/>
                <w:b w:val="1"/>
                <w:bCs w:val="1"/>
                <w:color w:val="auto"/>
              </w:rPr>
              <w:t>INDEX TO EXHIBITS</w:t>
            </w:r>
          </w:p>
        </w:tc>
      </w:tr>
      <w:tr>
        <w:trPr>
          <w:trHeight w:val="234"/>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3180"/>
              <w:spacing w:after="0"/>
              <w:rPr>
                <w:sz w:val="20"/>
                <w:szCs w:val="20"/>
                <w:color w:val="auto"/>
              </w:rPr>
            </w:pPr>
            <w:r>
              <w:rPr>
                <w:rFonts w:ascii="Arial" w:cs="Arial" w:eastAsia="Arial" w:hAnsi="Arial"/>
                <w:sz w:val="18"/>
                <w:szCs w:val="18"/>
                <w:b w:val="1"/>
                <w:bCs w:val="1"/>
                <w:color w:val="auto"/>
              </w:rPr>
              <w:t>Item 15 (a) (3)</w:t>
            </w:r>
          </w:p>
        </w:tc>
      </w:tr>
      <w:tr>
        <w:trPr>
          <w:trHeight w:val="399"/>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28"/>
        </w:trPr>
        <w:tc>
          <w:tcPr>
            <w:tcW w:w="700" w:type="dxa"/>
            <w:vAlign w:val="bottom"/>
            <w:tcBorders>
              <w:top w:val="single" w:sz="8" w:color="auto"/>
            </w:tcBorders>
          </w:tcPr>
          <w:p>
            <w:pPr>
              <w:jc w:val="center"/>
              <w:ind w:left="34"/>
              <w:spacing w:after="0"/>
              <w:rPr>
                <w:sz w:val="20"/>
                <w:szCs w:val="20"/>
                <w:color w:val="auto"/>
              </w:rPr>
            </w:pPr>
            <w:r>
              <w:rPr>
                <w:rFonts w:ascii="Arial" w:cs="Arial" w:eastAsia="Arial" w:hAnsi="Arial"/>
                <w:sz w:val="18"/>
                <w:szCs w:val="18"/>
                <w:color w:val="auto"/>
                <w:w w:val="93"/>
              </w:rPr>
              <w:t>(nn)</w:t>
            </w:r>
          </w:p>
        </w:tc>
        <w:tc>
          <w:tcPr>
            <w:tcW w:w="114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Form of Sales Agreement, dated August 28, 2015, between Crown Castle International Corp. and each of Merrill Lynch, Pierce,</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Fenner &amp; Smith Incorporated, Barclays Capital Inc., Citigroup Global Markets Inc., Credit Agricole Securities (USA) Inc., J.P.</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Morgan Securities LLC, Mizuho Securities USA Inc., Mitsubishi UFJ Securities (USA), Inc., Morgan Stanley &amp; Co. LLC, RBC</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Capital Markets, LLC, SMBC Nikko Securities America, Inc., SunTrust Robinson Humphrey, Inc. and Wells Fargo Securities,</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LLC</w:t>
            </w:r>
          </w:p>
        </w:tc>
      </w:tr>
      <w:tr>
        <w:trPr>
          <w:trHeight w:val="256"/>
        </w:trPr>
        <w:tc>
          <w:tcPr>
            <w:tcW w:w="700" w:type="dxa"/>
            <w:vAlign w:val="bottom"/>
          </w:tcPr>
          <w:p>
            <w:pPr>
              <w:jc w:val="center"/>
              <w:ind w:left="34"/>
              <w:spacing w:after="0"/>
              <w:rPr>
                <w:sz w:val="20"/>
                <w:szCs w:val="20"/>
                <w:color w:val="auto"/>
              </w:rPr>
            </w:pPr>
            <w:r>
              <w:rPr>
                <w:rFonts w:ascii="Arial" w:cs="Arial" w:eastAsia="Arial" w:hAnsi="Arial"/>
                <w:sz w:val="18"/>
                <w:szCs w:val="18"/>
                <w:color w:val="auto"/>
                <w:w w:val="93"/>
              </w:rPr>
              <w:t>(gg)</w:t>
            </w:r>
          </w:p>
        </w:tc>
        <w:tc>
          <w:tcPr>
            <w:tcW w:w="1140" w:type="dxa"/>
            <w:vAlign w:val="bottom"/>
          </w:tcPr>
          <w:p>
            <w:pPr>
              <w:jc w:val="right"/>
              <w:ind w:right="6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Agreement and Plan of Merger by and between Crown Castle International Corp. and Crown Castle REIT Inc., dated September</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19, 2014</w:t>
            </w:r>
          </w:p>
        </w:tc>
      </w:tr>
      <w:tr>
        <w:trPr>
          <w:trHeight w:val="256"/>
        </w:trPr>
        <w:tc>
          <w:tcPr>
            <w:tcW w:w="700" w:type="dxa"/>
            <w:vAlign w:val="bottom"/>
          </w:tcPr>
          <w:p>
            <w:pPr>
              <w:jc w:val="center"/>
              <w:ind w:left="54"/>
              <w:spacing w:after="0"/>
              <w:rPr>
                <w:sz w:val="20"/>
                <w:szCs w:val="20"/>
                <w:color w:val="auto"/>
              </w:rPr>
            </w:pPr>
            <w:r>
              <w:rPr>
                <w:rFonts w:ascii="Arial" w:cs="Arial" w:eastAsia="Arial" w:hAnsi="Arial"/>
                <w:sz w:val="18"/>
                <w:szCs w:val="18"/>
                <w:color w:val="auto"/>
                <w:w w:val="90"/>
              </w:rPr>
              <w:t>(a)</w:t>
            </w:r>
          </w:p>
        </w:tc>
        <w:tc>
          <w:tcPr>
            <w:tcW w:w="1140" w:type="dxa"/>
            <w:vAlign w:val="bottom"/>
          </w:tcPr>
          <w:p>
            <w:pPr>
              <w:jc w:val="right"/>
              <w:ind w:right="6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Formation Agreement, dated December 8, 1998, relating to the formation of Crown Atlantic Company LLC, Crown Atlantic</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Holding Sub LLC, and Crown Atlantic Holding Company LLC</w:t>
            </w:r>
          </w:p>
        </w:tc>
      </w:tr>
    </w:tbl>
    <w:p>
      <w:pPr>
        <w:spacing w:after="0" w:line="40" w:lineRule="exact"/>
        <w:rPr>
          <w:sz w:val="20"/>
          <w:szCs w:val="20"/>
          <w:color w:val="auto"/>
        </w:rPr>
      </w:pPr>
    </w:p>
    <w:p>
      <w:pPr>
        <w:ind w:left="1980" w:right="20" w:hanging="1672"/>
        <w:spacing w:after="0" w:line="298" w:lineRule="auto"/>
        <w:tabs>
          <w:tab w:leader="none" w:pos="8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2.3</w:t>
      </w:r>
      <w:r>
        <w:rPr>
          <w:rFonts w:ascii="Arial" w:cs="Arial" w:eastAsia="Arial" w:hAnsi="Arial"/>
          <w:sz w:val="17"/>
          <w:szCs w:val="17"/>
          <w:color w:val="auto"/>
        </w:rPr>
        <w:t>Amendment Number 1 to Formation Agreement, dated March 31, 1999, among Crown Castle International Corp., Cellco Partnership, doing business as Bell Atlantic Mobile, certain Transferring Partnerships and CCA Investment Corp.</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(g)</w:t>
            </w:r>
          </w:p>
        </w:tc>
        <w:tc>
          <w:tcPr>
            <w:tcW w:w="900" w:type="dxa"/>
            <w:vAlign w:val="bottom"/>
          </w:tcPr>
          <w:p>
            <w:pPr>
              <w:ind w:left="160"/>
              <w:spacing w:after="0"/>
              <w:rPr>
                <w:sz w:val="20"/>
                <w:szCs w:val="20"/>
                <w:color w:val="auto"/>
              </w:rPr>
            </w:pPr>
            <w:r>
              <w:rPr>
                <w:rFonts w:ascii="Arial" w:cs="Arial" w:eastAsia="Arial" w:hAnsi="Arial"/>
                <w:sz w:val="18"/>
                <w:szCs w:val="18"/>
                <w:color w:val="auto"/>
              </w:rPr>
              <w:t>2.4</w:t>
            </w:r>
          </w:p>
        </w:tc>
        <w:tc>
          <w:tcPr>
            <w:tcW w:w="9820" w:type="dxa"/>
            <w:vAlign w:val="bottom"/>
          </w:tcPr>
          <w:p>
            <w:pPr>
              <w:ind w:left="400"/>
              <w:spacing w:after="0"/>
              <w:rPr>
                <w:sz w:val="20"/>
                <w:szCs w:val="20"/>
                <w:color w:val="auto"/>
              </w:rPr>
            </w:pPr>
            <w:r>
              <w:rPr>
                <w:rFonts w:ascii="Arial" w:cs="Arial" w:eastAsia="Arial" w:hAnsi="Arial"/>
                <w:sz w:val="18"/>
                <w:szCs w:val="18"/>
                <w:color w:val="auto"/>
                <w:w w:val="93"/>
              </w:rPr>
              <w:t>Crown Atlantic Holding Company LLC Amended and Restated Operating Agreement, dated May 1, 2003, by and between Bell</w:t>
            </w: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Atlantic Mobile, Inc. and CCA Investment Corp.</w:t>
            </w:r>
          </w:p>
        </w:tc>
      </w:t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900" w:type="dxa"/>
            <w:vAlign w:val="bottom"/>
          </w:tcPr>
          <w:p>
            <w:pPr>
              <w:ind w:left="160"/>
              <w:spacing w:after="0"/>
              <w:rPr>
                <w:sz w:val="20"/>
                <w:szCs w:val="20"/>
                <w:color w:val="auto"/>
              </w:rPr>
            </w:pPr>
            <w:r>
              <w:rPr>
                <w:rFonts w:ascii="Arial" w:cs="Arial" w:eastAsia="Arial" w:hAnsi="Arial"/>
                <w:sz w:val="18"/>
                <w:szCs w:val="18"/>
                <w:color w:val="auto"/>
              </w:rPr>
              <w:t>2.5</w:t>
            </w:r>
          </w:p>
        </w:tc>
        <w:tc>
          <w:tcPr>
            <w:tcW w:w="9820" w:type="dxa"/>
            <w:vAlign w:val="bottom"/>
          </w:tcPr>
          <w:p>
            <w:pPr>
              <w:ind w:left="400"/>
              <w:spacing w:after="0"/>
              <w:rPr>
                <w:sz w:val="20"/>
                <w:szCs w:val="20"/>
                <w:color w:val="auto"/>
              </w:rPr>
            </w:pPr>
            <w:r>
              <w:rPr>
                <w:rFonts w:ascii="Arial" w:cs="Arial" w:eastAsia="Arial" w:hAnsi="Arial"/>
                <w:sz w:val="18"/>
                <w:szCs w:val="18"/>
                <w:color w:val="auto"/>
                <w:w w:val="91"/>
              </w:rPr>
              <w:t>Crown Atlantic Company LLC Operating Agreement entered into as of March 31, 1999 by and between Cellco Partnership, doing</w:t>
            </w: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business as Bell Atlantic Mobile, and Crown Atlantic Holding Sub LLC</w:t>
            </w:r>
          </w:p>
        </w:tc>
      </w:t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(g)</w:t>
            </w:r>
          </w:p>
        </w:tc>
        <w:tc>
          <w:tcPr>
            <w:tcW w:w="900" w:type="dxa"/>
            <w:vAlign w:val="bottom"/>
          </w:tcPr>
          <w:p>
            <w:pPr>
              <w:ind w:left="160"/>
              <w:spacing w:after="0"/>
              <w:rPr>
                <w:sz w:val="20"/>
                <w:szCs w:val="20"/>
                <w:color w:val="auto"/>
              </w:rPr>
            </w:pPr>
            <w:r>
              <w:rPr>
                <w:rFonts w:ascii="Arial" w:cs="Arial" w:eastAsia="Arial" w:hAnsi="Arial"/>
                <w:sz w:val="18"/>
                <w:szCs w:val="18"/>
                <w:color w:val="auto"/>
              </w:rPr>
              <w:t>2.6</w:t>
            </w:r>
          </w:p>
        </w:tc>
        <w:tc>
          <w:tcPr>
            <w:tcW w:w="9820" w:type="dxa"/>
            <w:vAlign w:val="bottom"/>
          </w:tcPr>
          <w:p>
            <w:pPr>
              <w:ind w:left="400"/>
              <w:spacing w:after="0"/>
              <w:rPr>
                <w:sz w:val="20"/>
                <w:szCs w:val="20"/>
                <w:color w:val="auto"/>
              </w:rPr>
            </w:pPr>
            <w:r>
              <w:rPr>
                <w:rFonts w:ascii="Arial" w:cs="Arial" w:eastAsia="Arial" w:hAnsi="Arial"/>
                <w:sz w:val="18"/>
                <w:szCs w:val="18"/>
                <w:color w:val="auto"/>
                <w:w w:val="93"/>
              </w:rPr>
              <w:t>Crown Atlantic Company LLC First Amendment to Operating Agreement, dated May 1, 2003, by Crown Atlantic Company LLC,</w:t>
            </w: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and each of Bell Atlantic Mobile, Inc. and Crown Atlantic Holding Sub LLC</w:t>
            </w:r>
          </w:p>
        </w:tc>
      </w:tr>
      <w:tr>
        <w:trPr>
          <w:trHeight w:val="256"/>
        </w:trPr>
        <w:tc>
          <w:tcPr>
            <w:tcW w:w="380" w:type="dxa"/>
            <w:vAlign w:val="bottom"/>
          </w:tcPr>
          <w:p>
            <w:pPr>
              <w:ind w:left="20"/>
              <w:spacing w:after="0"/>
              <w:rPr>
                <w:sz w:val="20"/>
                <w:szCs w:val="20"/>
                <w:color w:val="auto"/>
              </w:rPr>
            </w:pPr>
            <w:r>
              <w:rPr>
                <w:rFonts w:ascii="Arial" w:cs="Arial" w:eastAsia="Arial" w:hAnsi="Arial"/>
                <w:sz w:val="18"/>
                <w:szCs w:val="18"/>
                <w:color w:val="auto"/>
              </w:rPr>
              <w:t>(c)</w:t>
            </w:r>
          </w:p>
        </w:tc>
        <w:tc>
          <w:tcPr>
            <w:tcW w:w="900" w:type="dxa"/>
            <w:vAlign w:val="bottom"/>
          </w:tcPr>
          <w:p>
            <w:pPr>
              <w:ind w:left="160"/>
              <w:spacing w:after="0"/>
              <w:rPr>
                <w:sz w:val="20"/>
                <w:szCs w:val="20"/>
                <w:color w:val="auto"/>
              </w:rPr>
            </w:pPr>
            <w:r>
              <w:rPr>
                <w:rFonts w:ascii="Arial" w:cs="Arial" w:eastAsia="Arial" w:hAnsi="Arial"/>
                <w:sz w:val="18"/>
                <w:szCs w:val="18"/>
                <w:color w:val="auto"/>
              </w:rPr>
              <w:t>2.7</w:t>
            </w:r>
          </w:p>
        </w:tc>
        <w:tc>
          <w:tcPr>
            <w:tcW w:w="9820" w:type="dxa"/>
            <w:vAlign w:val="bottom"/>
          </w:tcPr>
          <w:p>
            <w:pPr>
              <w:ind w:left="400"/>
              <w:spacing w:after="0"/>
              <w:rPr>
                <w:sz w:val="20"/>
                <w:szCs w:val="20"/>
                <w:color w:val="auto"/>
              </w:rPr>
            </w:pPr>
            <w:r>
              <w:rPr>
                <w:rFonts w:ascii="Arial" w:cs="Arial" w:eastAsia="Arial" w:hAnsi="Arial"/>
                <w:sz w:val="18"/>
                <w:szCs w:val="18"/>
                <w:color w:val="auto"/>
                <w:w w:val="95"/>
              </w:rPr>
              <w:t>Agreement to Sublease dated June 1, 1999 by and among BellSouth Mobility Inc., BellSouth Telecommunications Inc., The</w:t>
            </w: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Transferring Entities, Crown Castle International Corp. and Crown Castle South Inc.</w:t>
            </w:r>
          </w:p>
        </w:tc>
      </w:tr>
      <w:tr>
        <w:trPr>
          <w:trHeight w:val="256"/>
        </w:trPr>
        <w:tc>
          <w:tcPr>
            <w:tcW w:w="380" w:type="dxa"/>
            <w:vAlign w:val="bottom"/>
          </w:tcPr>
          <w:p>
            <w:pPr>
              <w:ind w:left="20"/>
              <w:spacing w:after="0"/>
              <w:rPr>
                <w:sz w:val="20"/>
                <w:szCs w:val="20"/>
                <w:color w:val="auto"/>
              </w:rPr>
            </w:pPr>
            <w:r>
              <w:rPr>
                <w:rFonts w:ascii="Arial" w:cs="Arial" w:eastAsia="Arial" w:hAnsi="Arial"/>
                <w:sz w:val="18"/>
                <w:szCs w:val="18"/>
                <w:color w:val="auto"/>
              </w:rPr>
              <w:t>(c)</w:t>
            </w:r>
          </w:p>
        </w:tc>
        <w:tc>
          <w:tcPr>
            <w:tcW w:w="900" w:type="dxa"/>
            <w:vAlign w:val="bottom"/>
          </w:tcPr>
          <w:p>
            <w:pPr>
              <w:ind w:left="160"/>
              <w:spacing w:after="0"/>
              <w:rPr>
                <w:sz w:val="20"/>
                <w:szCs w:val="20"/>
                <w:color w:val="auto"/>
              </w:rPr>
            </w:pPr>
            <w:r>
              <w:rPr>
                <w:rFonts w:ascii="Arial" w:cs="Arial" w:eastAsia="Arial" w:hAnsi="Arial"/>
                <w:sz w:val="18"/>
                <w:szCs w:val="18"/>
                <w:color w:val="auto"/>
              </w:rPr>
              <w:t>2.8</w:t>
            </w:r>
          </w:p>
        </w:tc>
        <w:tc>
          <w:tcPr>
            <w:tcW w:w="9820" w:type="dxa"/>
            <w:vAlign w:val="bottom"/>
          </w:tcPr>
          <w:p>
            <w:pPr>
              <w:ind w:left="400"/>
              <w:spacing w:after="0"/>
              <w:rPr>
                <w:sz w:val="20"/>
                <w:szCs w:val="20"/>
                <w:color w:val="auto"/>
              </w:rPr>
            </w:pPr>
            <w:r>
              <w:rPr>
                <w:rFonts w:ascii="Arial" w:cs="Arial" w:eastAsia="Arial" w:hAnsi="Arial"/>
                <w:sz w:val="18"/>
                <w:szCs w:val="18"/>
                <w:color w:val="auto"/>
                <w:w w:val="92"/>
              </w:rPr>
              <w:t>Sublease dated June 1, 1999 by and among BellSouth Mobility Inc., Certain BMI Affiliates, Crown Castle International Corp. and</w:t>
            </w: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Crown Castle South Inc.</w:t>
            </w:r>
          </w:p>
        </w:tc>
      </w:tr>
      <w:tr>
        <w:trPr>
          <w:trHeight w:val="256"/>
        </w:trPr>
        <w:tc>
          <w:tcPr>
            <w:tcW w:w="380" w:type="dxa"/>
            <w:vAlign w:val="bottom"/>
          </w:tcPr>
          <w:p>
            <w:pPr>
              <w:ind w:left="20"/>
              <w:spacing w:after="0"/>
              <w:rPr>
                <w:sz w:val="20"/>
                <w:szCs w:val="20"/>
                <w:color w:val="auto"/>
              </w:rPr>
            </w:pPr>
            <w:r>
              <w:rPr>
                <w:rFonts w:ascii="Arial" w:cs="Arial" w:eastAsia="Arial" w:hAnsi="Arial"/>
                <w:sz w:val="18"/>
                <w:szCs w:val="18"/>
                <w:color w:val="auto"/>
              </w:rPr>
              <w:t>(e)</w:t>
            </w:r>
          </w:p>
        </w:tc>
        <w:tc>
          <w:tcPr>
            <w:tcW w:w="900" w:type="dxa"/>
            <w:vAlign w:val="bottom"/>
          </w:tcPr>
          <w:p>
            <w:pPr>
              <w:ind w:left="160"/>
              <w:spacing w:after="0"/>
              <w:rPr>
                <w:sz w:val="20"/>
                <w:szCs w:val="20"/>
                <w:color w:val="auto"/>
              </w:rPr>
            </w:pPr>
            <w:r>
              <w:rPr>
                <w:rFonts w:ascii="Arial" w:cs="Arial" w:eastAsia="Arial" w:hAnsi="Arial"/>
                <w:sz w:val="18"/>
                <w:szCs w:val="18"/>
                <w:color w:val="auto"/>
              </w:rPr>
              <w:t>2.9</w:t>
            </w:r>
          </w:p>
        </w:tc>
        <w:tc>
          <w:tcPr>
            <w:tcW w:w="9820" w:type="dxa"/>
            <w:vAlign w:val="bottom"/>
          </w:tcPr>
          <w:p>
            <w:pPr>
              <w:ind w:left="400"/>
              <w:spacing w:after="0"/>
              <w:rPr>
                <w:sz w:val="20"/>
                <w:szCs w:val="20"/>
                <w:color w:val="auto"/>
              </w:rPr>
            </w:pPr>
            <w:r>
              <w:rPr>
                <w:rFonts w:ascii="Arial" w:cs="Arial" w:eastAsia="Arial" w:hAnsi="Arial"/>
                <w:sz w:val="18"/>
                <w:szCs w:val="18"/>
                <w:color w:val="auto"/>
                <w:w w:val="90"/>
              </w:rPr>
              <w:t>Agreement to Sublease dated August 1, 1999 by and among BellSouth Personal Communications, Inc., BellSouth Carolinas PCS,</w:t>
            </w: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L.P., Crown Castle International Corp. and Crown Castle South Inc.</w:t>
            </w:r>
          </w:p>
        </w:tc>
      </w:tr>
      <w:tr>
        <w:trPr>
          <w:trHeight w:val="256"/>
        </w:trPr>
        <w:tc>
          <w:tcPr>
            <w:tcW w:w="380" w:type="dxa"/>
            <w:vAlign w:val="bottom"/>
          </w:tcPr>
          <w:p>
            <w:pPr>
              <w:ind w:left="20"/>
              <w:spacing w:after="0"/>
              <w:rPr>
                <w:sz w:val="20"/>
                <w:szCs w:val="20"/>
                <w:color w:val="auto"/>
              </w:rPr>
            </w:pPr>
            <w:r>
              <w:rPr>
                <w:rFonts w:ascii="Arial" w:cs="Arial" w:eastAsia="Arial" w:hAnsi="Arial"/>
                <w:sz w:val="18"/>
                <w:szCs w:val="18"/>
                <w:color w:val="auto"/>
              </w:rPr>
              <w:t>(e)</w:t>
            </w:r>
          </w:p>
        </w:tc>
        <w:tc>
          <w:tcPr>
            <w:tcW w:w="900" w:type="dxa"/>
            <w:vAlign w:val="bottom"/>
          </w:tcPr>
          <w:p>
            <w:pPr>
              <w:ind w:left="160"/>
              <w:spacing w:after="0"/>
              <w:rPr>
                <w:sz w:val="20"/>
                <w:szCs w:val="20"/>
                <w:color w:val="auto"/>
              </w:rPr>
            </w:pPr>
            <w:r>
              <w:rPr>
                <w:rFonts w:ascii="Arial" w:cs="Arial" w:eastAsia="Arial" w:hAnsi="Arial"/>
                <w:sz w:val="18"/>
                <w:szCs w:val="18"/>
                <w:color w:val="auto"/>
              </w:rPr>
              <w:t>2.10</w:t>
            </w:r>
          </w:p>
        </w:tc>
        <w:tc>
          <w:tcPr>
            <w:tcW w:w="9820" w:type="dxa"/>
            <w:vAlign w:val="bottom"/>
          </w:tcPr>
          <w:p>
            <w:pPr>
              <w:ind w:left="400"/>
              <w:spacing w:after="0"/>
              <w:rPr>
                <w:sz w:val="20"/>
                <w:szCs w:val="20"/>
                <w:color w:val="auto"/>
              </w:rPr>
            </w:pPr>
            <w:r>
              <w:rPr>
                <w:rFonts w:ascii="Arial" w:cs="Arial" w:eastAsia="Arial" w:hAnsi="Arial"/>
                <w:sz w:val="18"/>
                <w:szCs w:val="18"/>
                <w:color w:val="auto"/>
                <w:w w:val="92"/>
              </w:rPr>
              <w:t>Sublease dated August 1, 1999 by and among BellSouth Personal Communications, Inc., BellSouth Carolinas PCS, L.P., Crown</w:t>
            </w: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Castle International Corp. and Crown Castle South Inc.</w:t>
            </w:r>
          </w:p>
        </w:tc>
      </w:t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900" w:type="dxa"/>
            <w:vAlign w:val="bottom"/>
          </w:tcPr>
          <w:p>
            <w:pPr>
              <w:ind w:left="160"/>
              <w:spacing w:after="0"/>
              <w:rPr>
                <w:sz w:val="20"/>
                <w:szCs w:val="20"/>
                <w:color w:val="auto"/>
              </w:rPr>
            </w:pPr>
            <w:r>
              <w:rPr>
                <w:rFonts w:ascii="Arial" w:cs="Arial" w:eastAsia="Arial" w:hAnsi="Arial"/>
                <w:sz w:val="18"/>
                <w:szCs w:val="18"/>
                <w:color w:val="auto"/>
              </w:rPr>
              <w:t>2.11</w:t>
            </w:r>
          </w:p>
        </w:tc>
        <w:tc>
          <w:tcPr>
            <w:tcW w:w="9820" w:type="dxa"/>
            <w:vAlign w:val="bottom"/>
          </w:tcPr>
          <w:p>
            <w:pPr>
              <w:ind w:left="400"/>
              <w:spacing w:after="0"/>
              <w:rPr>
                <w:sz w:val="20"/>
                <w:szCs w:val="20"/>
                <w:color w:val="auto"/>
              </w:rPr>
            </w:pPr>
            <w:r>
              <w:rPr>
                <w:rFonts w:ascii="Arial" w:cs="Arial" w:eastAsia="Arial" w:hAnsi="Arial"/>
                <w:sz w:val="18"/>
                <w:szCs w:val="18"/>
                <w:color w:val="auto"/>
                <w:w w:val="93"/>
              </w:rPr>
              <w:t>Formation Agreement dated November 7, 1999 relating to the formation of Crown Castle GT Company LLC, Crown Castle GT</w:t>
            </w:r>
          </w:p>
        </w:tc>
      </w:tr>
      <w:tr>
        <w:trPr>
          <w:trHeight w:val="230"/>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Holding Sub LLC and Crown Castle GT Holding Company LLC</w:t>
            </w:r>
          </w:p>
        </w:tc>
      </w:tr>
    </w:tbl>
    <w:p>
      <w:pPr>
        <w:spacing w:after="0" w:line="40" w:lineRule="exact"/>
        <w:rPr>
          <w:sz w:val="20"/>
          <w:szCs w:val="20"/>
          <w:color w:val="auto"/>
        </w:rPr>
      </w:pPr>
    </w:p>
    <w:p>
      <w:pPr>
        <w:ind w:left="1980" w:right="40" w:hanging="1667"/>
        <w:spacing w:after="0" w:line="277" w:lineRule="auto"/>
        <w:tabs>
          <w:tab w:leader="none" w:pos="8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2.12Operating Agreement, dated January 31, 2000 by and between Crown Castle GT Corp. and affiliates of GTE Wireless Incorporated</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00" w:type="dxa"/>
            <w:vAlign w:val="bottom"/>
          </w:tcPr>
          <w:p>
            <w:pPr>
              <w:jc w:val="center"/>
              <w:ind w:right="30"/>
              <w:spacing w:after="0"/>
              <w:rPr>
                <w:sz w:val="20"/>
                <w:szCs w:val="20"/>
                <w:color w:val="auto"/>
              </w:rPr>
            </w:pPr>
            <w:r>
              <w:rPr>
                <w:rFonts w:ascii="Arial" w:cs="Arial" w:eastAsia="Arial" w:hAnsi="Arial"/>
                <w:sz w:val="18"/>
                <w:szCs w:val="18"/>
                <w:color w:val="auto"/>
                <w:w w:val="93"/>
              </w:rPr>
              <w:t>(hh)</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9880" w:type="dxa"/>
            <w:vAlign w:val="bottom"/>
          </w:tcPr>
          <w:p>
            <w:pPr>
              <w:ind w:left="460"/>
              <w:spacing w:after="0"/>
              <w:rPr>
                <w:sz w:val="20"/>
                <w:szCs w:val="20"/>
                <w:color w:val="auto"/>
              </w:rPr>
            </w:pPr>
            <w:r>
              <w:rPr>
                <w:rFonts w:ascii="Arial" w:cs="Arial" w:eastAsia="Arial" w:hAnsi="Arial"/>
                <w:sz w:val="18"/>
                <w:szCs w:val="18"/>
                <w:color w:val="auto"/>
                <w:w w:val="96"/>
              </w:rPr>
              <w:t>Restated Certificate of Incorporation of Crown Castle International Corp. (including the Certificate of Designations of 4.50%</w:t>
            </w: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80" w:type="dxa"/>
            <w:vAlign w:val="bottom"/>
          </w:tcPr>
          <w:p>
            <w:pPr>
              <w:ind w:left="460"/>
              <w:spacing w:after="0"/>
              <w:rPr>
                <w:sz w:val="20"/>
                <w:szCs w:val="20"/>
                <w:color w:val="auto"/>
              </w:rPr>
            </w:pPr>
            <w:r>
              <w:rPr>
                <w:rFonts w:ascii="Arial" w:cs="Arial" w:eastAsia="Arial" w:hAnsi="Arial"/>
                <w:sz w:val="18"/>
                <w:szCs w:val="18"/>
                <w:color w:val="auto"/>
              </w:rPr>
              <w:t>Mandatory Convertible Preferred Stock, Series A, incorporated therein as Exhibit I)</w:t>
            </w:r>
          </w:p>
        </w:tc>
      </w:tr>
      <w:tr>
        <w:trPr>
          <w:trHeight w:val="270"/>
        </w:trPr>
        <w:tc>
          <w:tcPr>
            <w:tcW w:w="500" w:type="dxa"/>
            <w:vAlign w:val="bottom"/>
          </w:tcPr>
          <w:p>
            <w:pPr>
              <w:jc w:val="center"/>
              <w:ind w:right="10"/>
              <w:spacing w:after="0"/>
              <w:rPr>
                <w:sz w:val="20"/>
                <w:szCs w:val="20"/>
                <w:color w:val="auto"/>
              </w:rPr>
            </w:pPr>
            <w:r>
              <w:rPr>
                <w:rFonts w:ascii="Arial" w:cs="Arial" w:eastAsia="Arial" w:hAnsi="Arial"/>
                <w:sz w:val="18"/>
                <w:szCs w:val="18"/>
                <w:color w:val="auto"/>
                <w:w w:val="95"/>
              </w:rPr>
              <w:t>(mm)</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9880" w:type="dxa"/>
            <w:vAlign w:val="bottom"/>
          </w:tcPr>
          <w:p>
            <w:pPr>
              <w:ind w:left="460"/>
              <w:spacing w:after="0"/>
              <w:rPr>
                <w:sz w:val="20"/>
                <w:szCs w:val="20"/>
                <w:color w:val="auto"/>
              </w:rPr>
            </w:pPr>
            <w:r>
              <w:rPr>
                <w:rFonts w:ascii="Arial" w:cs="Arial" w:eastAsia="Arial" w:hAnsi="Arial"/>
                <w:sz w:val="18"/>
                <w:szCs w:val="18"/>
                <w:color w:val="auto"/>
              </w:rPr>
              <w:t>Amended and Restated By-Laws of Crown Castle International Corp., dated July 30, 2015</w:t>
            </w:r>
          </w:p>
        </w:tc>
      </w:tr>
      <w:tr>
        <w:trPr>
          <w:trHeight w:val="270"/>
        </w:trPr>
        <w:tc>
          <w:tcPr>
            <w:tcW w:w="500" w:type="dxa"/>
            <w:vAlign w:val="bottom"/>
          </w:tcPr>
          <w:p>
            <w:pPr>
              <w:jc w:val="center"/>
              <w:ind w:right="30"/>
              <w:spacing w:after="0"/>
              <w:rPr>
                <w:sz w:val="20"/>
                <w:szCs w:val="20"/>
                <w:color w:val="auto"/>
              </w:rPr>
            </w:pPr>
            <w:r>
              <w:rPr>
                <w:rFonts w:ascii="Arial" w:cs="Arial" w:eastAsia="Arial" w:hAnsi="Arial"/>
                <w:sz w:val="18"/>
                <w:szCs w:val="18"/>
                <w:color w:val="auto"/>
                <w:w w:val="93"/>
              </w:rPr>
              <w:t>(hh)</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9880" w:type="dxa"/>
            <w:vAlign w:val="bottom"/>
          </w:tcPr>
          <w:p>
            <w:pPr>
              <w:ind w:left="460"/>
              <w:spacing w:after="0"/>
              <w:rPr>
                <w:sz w:val="20"/>
                <w:szCs w:val="20"/>
                <w:color w:val="auto"/>
              </w:rPr>
            </w:pPr>
            <w:r>
              <w:rPr>
                <w:rFonts w:ascii="Arial" w:cs="Arial" w:eastAsia="Arial" w:hAnsi="Arial"/>
                <w:sz w:val="18"/>
                <w:szCs w:val="18"/>
                <w:color w:val="auto"/>
              </w:rPr>
              <w:t>Form of Common Stock Certificate</w:t>
            </w:r>
          </w:p>
        </w:tc>
      </w:tr>
      <w:tr>
        <w:trPr>
          <w:trHeight w:val="270"/>
        </w:trPr>
        <w:tc>
          <w:tcPr>
            <w:tcW w:w="500" w:type="dxa"/>
            <w:vAlign w:val="bottom"/>
          </w:tcPr>
          <w:p>
            <w:pPr>
              <w:jc w:val="center"/>
              <w:ind w:right="30"/>
              <w:spacing w:after="0"/>
              <w:rPr>
                <w:sz w:val="20"/>
                <w:szCs w:val="20"/>
                <w:color w:val="auto"/>
              </w:rPr>
            </w:pPr>
            <w:r>
              <w:rPr>
                <w:rFonts w:ascii="Arial" w:cs="Arial" w:eastAsia="Arial" w:hAnsi="Arial"/>
                <w:sz w:val="18"/>
                <w:szCs w:val="18"/>
                <w:color w:val="auto"/>
                <w:w w:val="93"/>
              </w:rPr>
              <w:t>(hh)</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9880" w:type="dxa"/>
            <w:vAlign w:val="bottom"/>
          </w:tcPr>
          <w:p>
            <w:pPr>
              <w:ind w:left="460"/>
              <w:spacing w:after="0"/>
              <w:rPr>
                <w:sz w:val="20"/>
                <w:szCs w:val="20"/>
                <w:color w:val="auto"/>
              </w:rPr>
            </w:pPr>
            <w:r>
              <w:rPr>
                <w:rFonts w:ascii="Arial" w:cs="Arial" w:eastAsia="Arial" w:hAnsi="Arial"/>
                <w:sz w:val="18"/>
                <w:szCs w:val="18"/>
                <w:color w:val="auto"/>
              </w:rPr>
              <w:t>Form of Mandatory Convertible Preferred Stock Certificate</w:t>
            </w:r>
          </w:p>
        </w:tc>
      </w:tr>
      <w:tr>
        <w:trPr>
          <w:trHeight w:val="256"/>
        </w:trPr>
        <w:tc>
          <w:tcPr>
            <w:tcW w:w="500" w:type="dxa"/>
            <w:vAlign w:val="bottom"/>
          </w:tcPr>
          <w:p>
            <w:pPr>
              <w:jc w:val="center"/>
              <w:ind w:right="30"/>
              <w:spacing w:after="0"/>
              <w:rPr>
                <w:sz w:val="20"/>
                <w:szCs w:val="20"/>
                <w:color w:val="auto"/>
              </w:rPr>
            </w:pPr>
            <w:r>
              <w:rPr>
                <w:rFonts w:ascii="Arial" w:cs="Arial" w:eastAsia="Arial" w:hAnsi="Arial"/>
                <w:sz w:val="18"/>
                <w:szCs w:val="18"/>
                <w:color w:val="auto"/>
              </w:rPr>
              <w:t>(i)</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9880" w:type="dxa"/>
            <w:vAlign w:val="bottom"/>
          </w:tcPr>
          <w:p>
            <w:pPr>
              <w:ind w:left="460"/>
              <w:spacing w:after="0"/>
              <w:rPr>
                <w:sz w:val="20"/>
                <w:szCs w:val="20"/>
                <w:color w:val="auto"/>
              </w:rPr>
            </w:pPr>
            <w:r>
              <w:rPr>
                <w:rFonts w:ascii="Arial" w:cs="Arial" w:eastAsia="Arial" w:hAnsi="Arial"/>
                <w:sz w:val="18"/>
                <w:szCs w:val="18"/>
                <w:color w:val="auto"/>
                <w:w w:val="90"/>
              </w:rPr>
              <w:t>Indenture, dated as of June 1, 2005, relating to the Senior Secured Tower Revenue Notes, by and among JPMorgan Chase Bank,</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80" w:type="dxa"/>
            <w:vAlign w:val="bottom"/>
          </w:tcPr>
          <w:p>
            <w:pPr>
              <w:ind w:left="460"/>
              <w:spacing w:after="0"/>
              <w:rPr>
                <w:sz w:val="20"/>
                <w:szCs w:val="20"/>
                <w:color w:val="auto"/>
              </w:rPr>
            </w:pPr>
            <w:r>
              <w:rPr>
                <w:rFonts w:ascii="Arial" w:cs="Arial" w:eastAsia="Arial" w:hAnsi="Arial"/>
                <w:sz w:val="18"/>
                <w:szCs w:val="18"/>
                <w:color w:val="auto"/>
                <w:w w:val="92"/>
              </w:rPr>
              <w:t>N.A., as Indenture Trustee, and Crown Castle Towers LLC, Crown Castle South LLC, Crown Communication Inc., Crown Castle</w:t>
            </w: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80" w:type="dxa"/>
            <w:vAlign w:val="bottom"/>
          </w:tcPr>
          <w:p>
            <w:pPr>
              <w:ind w:left="460"/>
              <w:spacing w:after="0"/>
              <w:rPr>
                <w:sz w:val="20"/>
                <w:szCs w:val="20"/>
                <w:color w:val="auto"/>
              </w:rPr>
            </w:pPr>
            <w:r>
              <w:rPr>
                <w:rFonts w:ascii="Arial" w:cs="Arial" w:eastAsia="Arial" w:hAnsi="Arial"/>
                <w:sz w:val="18"/>
                <w:szCs w:val="18"/>
                <w:color w:val="auto"/>
                <w:w w:val="95"/>
              </w:rPr>
              <w:t>PT Inc., Crown Communication New York, Inc. and Crown Castle International Corp. de Puerto Rico, collectively as Issuers</w:t>
            </w:r>
          </w:p>
        </w:tc>
      </w:tr>
      <w:tr>
        <w:trPr>
          <w:trHeight w:val="256"/>
        </w:trPr>
        <w:tc>
          <w:tcPr>
            <w:tcW w:w="500" w:type="dxa"/>
            <w:vAlign w:val="bottom"/>
          </w:tcPr>
          <w:p>
            <w:pPr>
              <w:jc w:val="center"/>
              <w:ind w:right="30"/>
              <w:spacing w:after="0"/>
              <w:rPr>
                <w:sz w:val="20"/>
                <w:szCs w:val="20"/>
                <w:color w:val="auto"/>
              </w:rPr>
            </w:pPr>
            <w:r>
              <w:rPr>
                <w:rFonts w:ascii="Arial" w:cs="Arial" w:eastAsia="Arial" w:hAnsi="Arial"/>
                <w:sz w:val="18"/>
                <w:szCs w:val="18"/>
                <w:color w:val="auto"/>
                <w:w w:val="85"/>
              </w:rPr>
              <w:t>(s)</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9880" w:type="dxa"/>
            <w:vAlign w:val="bottom"/>
          </w:tcPr>
          <w:p>
            <w:pPr>
              <w:ind w:left="460"/>
              <w:spacing w:after="0"/>
              <w:rPr>
                <w:sz w:val="20"/>
                <w:szCs w:val="20"/>
                <w:color w:val="auto"/>
              </w:rPr>
            </w:pPr>
            <w:r>
              <w:rPr>
                <w:rFonts w:ascii="Arial" w:cs="Arial" w:eastAsia="Arial" w:hAnsi="Arial"/>
                <w:sz w:val="18"/>
                <w:szCs w:val="18"/>
                <w:color w:val="auto"/>
                <w:w w:val="90"/>
              </w:rPr>
              <w:t>Indenture Supplement, dated as of January 15, 2010, relating to the Senior Secured Tower Revenue Notes, Series 2010-2, by and</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80" w:type="dxa"/>
            <w:vAlign w:val="bottom"/>
          </w:tcPr>
          <w:p>
            <w:pPr>
              <w:ind w:left="460"/>
              <w:spacing w:after="0"/>
              <w:rPr>
                <w:sz w:val="20"/>
                <w:szCs w:val="20"/>
                <w:color w:val="auto"/>
              </w:rPr>
            </w:pPr>
            <w:r>
              <w:rPr>
                <w:rFonts w:ascii="Arial" w:cs="Arial" w:eastAsia="Arial" w:hAnsi="Arial"/>
                <w:sz w:val="18"/>
                <w:szCs w:val="18"/>
                <w:color w:val="auto"/>
                <w:w w:val="92"/>
              </w:rPr>
              <w:t>among The Bank of New York Mellon (as successor to The Bank of New York as successor to JPMorgan Chase Bank, N.A.), as</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80" w:type="dxa"/>
            <w:vAlign w:val="bottom"/>
          </w:tcPr>
          <w:p>
            <w:pPr>
              <w:ind w:left="460"/>
              <w:spacing w:after="0"/>
              <w:rPr>
                <w:sz w:val="20"/>
                <w:szCs w:val="20"/>
                <w:color w:val="auto"/>
              </w:rPr>
            </w:pPr>
            <w:r>
              <w:rPr>
                <w:rFonts w:ascii="Arial" w:cs="Arial" w:eastAsia="Arial" w:hAnsi="Arial"/>
                <w:sz w:val="18"/>
                <w:szCs w:val="18"/>
                <w:color w:val="auto"/>
                <w:w w:val="92"/>
              </w:rPr>
              <w:t>Indenture Trustee, and Crown Castle Towers LLC, Crown Castle South LLC, Crown Communication Inc., Crown Castle PT Inc.,</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80" w:type="dxa"/>
            <w:vAlign w:val="bottom"/>
          </w:tcPr>
          <w:p>
            <w:pPr>
              <w:ind w:left="460"/>
              <w:spacing w:after="0"/>
              <w:rPr>
                <w:sz w:val="20"/>
                <w:szCs w:val="20"/>
                <w:color w:val="auto"/>
              </w:rPr>
            </w:pPr>
            <w:r>
              <w:rPr>
                <w:rFonts w:ascii="Arial" w:cs="Arial" w:eastAsia="Arial" w:hAnsi="Arial"/>
                <w:sz w:val="18"/>
                <w:szCs w:val="18"/>
                <w:color w:val="auto"/>
                <w:w w:val="93"/>
              </w:rPr>
              <w:t>Crown Communication New York, Inc., Crown Castle International Corp. de Puerto Rico, Crown Castle Towers 05 LLC, Crown</w:t>
            </w: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80" w:type="dxa"/>
            <w:vAlign w:val="bottom"/>
          </w:tcPr>
          <w:p>
            <w:pPr>
              <w:ind w:left="460"/>
              <w:spacing w:after="0"/>
              <w:rPr>
                <w:sz w:val="20"/>
                <w:szCs w:val="20"/>
                <w:color w:val="auto"/>
              </w:rPr>
            </w:pPr>
            <w:r>
              <w:rPr>
                <w:rFonts w:ascii="Arial" w:cs="Arial" w:eastAsia="Arial" w:hAnsi="Arial"/>
                <w:sz w:val="18"/>
                <w:szCs w:val="18"/>
                <w:color w:val="auto"/>
              </w:rPr>
              <w:t>Castle PR LLC, Crown Castle MU LLC and Crown Castle MUPA LLC, collectively as Issuers</w:t>
            </w:r>
          </w:p>
        </w:tc>
      </w:tr>
      <w:tr>
        <w:trPr>
          <w:trHeight w:val="256"/>
        </w:trPr>
        <w:tc>
          <w:tcPr>
            <w:tcW w:w="500" w:type="dxa"/>
            <w:vAlign w:val="bottom"/>
          </w:tcPr>
          <w:p>
            <w:pPr>
              <w:jc w:val="center"/>
              <w:ind w:right="30"/>
              <w:spacing w:after="0"/>
              <w:rPr>
                <w:sz w:val="20"/>
                <w:szCs w:val="20"/>
                <w:color w:val="auto"/>
              </w:rPr>
            </w:pPr>
            <w:r>
              <w:rPr>
                <w:rFonts w:ascii="Arial" w:cs="Arial" w:eastAsia="Arial" w:hAnsi="Arial"/>
                <w:sz w:val="18"/>
                <w:szCs w:val="18"/>
                <w:color w:val="auto"/>
                <w:w w:val="85"/>
              </w:rPr>
              <w:t>(s)</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9880" w:type="dxa"/>
            <w:vAlign w:val="bottom"/>
          </w:tcPr>
          <w:p>
            <w:pPr>
              <w:ind w:left="460"/>
              <w:spacing w:after="0"/>
              <w:rPr>
                <w:sz w:val="20"/>
                <w:szCs w:val="20"/>
                <w:color w:val="auto"/>
              </w:rPr>
            </w:pPr>
            <w:r>
              <w:rPr>
                <w:rFonts w:ascii="Arial" w:cs="Arial" w:eastAsia="Arial" w:hAnsi="Arial"/>
                <w:sz w:val="18"/>
                <w:szCs w:val="18"/>
                <w:color w:val="auto"/>
                <w:w w:val="90"/>
              </w:rPr>
              <w:t>Indenture Supplement, dated as of January 15, 2010, relating to the Senior Secured Tower Revenue Notes, Series 2010-3, by and</w:t>
            </w: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80" w:type="dxa"/>
            <w:vAlign w:val="bottom"/>
          </w:tcPr>
          <w:p>
            <w:pPr>
              <w:ind w:left="460"/>
              <w:spacing w:after="0"/>
              <w:rPr>
                <w:sz w:val="20"/>
                <w:szCs w:val="20"/>
                <w:color w:val="auto"/>
              </w:rPr>
            </w:pPr>
            <w:r>
              <w:rPr>
                <w:rFonts w:ascii="Arial" w:cs="Arial" w:eastAsia="Arial" w:hAnsi="Arial"/>
                <w:sz w:val="18"/>
                <w:szCs w:val="18"/>
                <w:color w:val="auto"/>
                <w:w w:val="92"/>
              </w:rPr>
              <w:t>among The Bank of New York Mellon (as successor to The Bank of New York as successor to JPMorgan Chase Bank, N.A.), as</w:t>
            </w:r>
          </w:p>
        </w:tc>
      </w:tr>
    </w:tbl>
    <w:p>
      <w:pPr>
        <w:jc w:val="both"/>
        <w:ind w:left="1980" w:right="20"/>
        <w:spacing w:after="0" w:line="255" w:lineRule="auto"/>
        <w:rPr>
          <w:sz w:val="20"/>
          <w:szCs w:val="20"/>
          <w:color w:val="auto"/>
        </w:rPr>
      </w:pPr>
      <w:r>
        <w:rPr>
          <w:rFonts w:ascii="Arial" w:cs="Arial" w:eastAsia="Arial" w:hAnsi="Arial"/>
          <w:sz w:val="18"/>
          <w:szCs w:val="18"/>
          <w:color w:val="auto"/>
        </w:rPr>
        <w:t>Indenture Trustee, and Crown Castle Towers LLC, Crown Castle South LLC, Crown Communication Inc., Crown Castle PT Inc., Crown Communication New York, Inc., Crown Castle International Corp. de Puerto Rico, Crown Castle Towers 05 LLC, Crown Castle PR LLC, Crown Castle MU LLC and Crown Castle MUPA LLC, collectively as Issuers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2"/>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28"/>
        </w:trPr>
        <w:tc>
          <w:tcPr>
            <w:tcW w:w="700" w:type="dxa"/>
            <w:vAlign w:val="bottom"/>
            <w:tcBorders>
              <w:top w:val="single" w:sz="8" w:color="auto"/>
            </w:tcBorders>
          </w:tcPr>
          <w:p>
            <w:pPr>
              <w:jc w:val="center"/>
              <w:ind w:left="32"/>
              <w:spacing w:after="0"/>
              <w:rPr>
                <w:sz w:val="20"/>
                <w:szCs w:val="20"/>
                <w:color w:val="auto"/>
              </w:rPr>
            </w:pPr>
            <w:r>
              <w:rPr>
                <w:rFonts w:ascii="Arial" w:cs="Arial" w:eastAsia="Arial" w:hAnsi="Arial"/>
                <w:sz w:val="18"/>
                <w:szCs w:val="18"/>
                <w:color w:val="auto"/>
              </w:rPr>
              <w:t>(t)</w:t>
            </w:r>
          </w:p>
        </w:tc>
        <w:tc>
          <w:tcPr>
            <w:tcW w:w="11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Indenture Supplement, dated as of August 16, 2010, relating to the Senior Secured Tower Revenue Notes, Series 2010-5, by and</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among The Bank of New York Mellon (as successor to The Bank of New York as successor to JPMorgan Chase Bank, N.A.), as</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Indenture Trustee, and Crown Castle Towers LLC, Crown Castle South LLC, Crown Communication Inc., Crown Castle PT Inc.,</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Crown Communication New York, Inc., Crown Castle International Corp. de Puerto Rico, Crown Castle Towers 05 LLC, Crown</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Castle PR LLC, Crown Castle MU LLC and Crown Castle MUPA LLC, collectively as Issuers</w:t>
            </w:r>
          </w:p>
        </w:tc>
      </w:tr>
      <w:tr>
        <w:trPr>
          <w:trHeight w:val="256"/>
        </w:trPr>
        <w:tc>
          <w:tcPr>
            <w:tcW w:w="700" w:type="dxa"/>
            <w:vAlign w:val="bottom"/>
          </w:tcPr>
          <w:p>
            <w:pPr>
              <w:jc w:val="center"/>
              <w:ind w:left="32"/>
              <w:spacing w:after="0"/>
              <w:rPr>
                <w:sz w:val="20"/>
                <w:szCs w:val="20"/>
                <w:color w:val="auto"/>
              </w:rPr>
            </w:pPr>
            <w:r>
              <w:rPr>
                <w:rFonts w:ascii="Arial" w:cs="Arial" w:eastAsia="Arial" w:hAnsi="Arial"/>
                <w:sz w:val="18"/>
                <w:szCs w:val="18"/>
                <w:color w:val="auto"/>
              </w:rPr>
              <w:t>(t)</w:t>
            </w:r>
          </w:p>
        </w:tc>
        <w:tc>
          <w:tcPr>
            <w:tcW w:w="1140" w:type="dxa"/>
            <w:vAlign w:val="bottom"/>
          </w:tcPr>
          <w:p>
            <w:pPr>
              <w:ind w:left="1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Indenture Supplement, dated as of August 16, 2010, relating to the Senior Secured Tower Revenue Notes, Series 2010-6, by and</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among The Bank of New York Mellon (as successor to The Bank of New York as successor to JPMorgan Chase Bank, N.A.), as</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Indenture Trustee, and Crown Castle Towers LLC, CRown Castle South LLC, Crown Communication Inc., Crown Castle PT Inc.,</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Crown Communication New York, Inc., Crown Castle International Corp. de Puerto Rico, Crown Castle Towers 05 LLC, Crown</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Castle PR LLC, Crown Castle MU LLC and Crown Castle MUPA LLC, collectively as Issuers</w:t>
            </w:r>
          </w:p>
        </w:tc>
      </w:tr>
      <w:tr>
        <w:trPr>
          <w:trHeight w:val="256"/>
        </w:trPr>
        <w:tc>
          <w:tcPr>
            <w:tcW w:w="700" w:type="dxa"/>
            <w:vAlign w:val="bottom"/>
          </w:tcPr>
          <w:p>
            <w:pPr>
              <w:jc w:val="center"/>
              <w:ind w:left="52"/>
              <w:spacing w:after="0"/>
              <w:rPr>
                <w:sz w:val="20"/>
                <w:szCs w:val="20"/>
                <w:color w:val="auto"/>
              </w:rPr>
            </w:pPr>
            <w:r>
              <w:rPr>
                <w:rFonts w:ascii="Arial" w:cs="Arial" w:eastAsia="Arial" w:hAnsi="Arial"/>
                <w:sz w:val="18"/>
                <w:szCs w:val="18"/>
                <w:color w:val="auto"/>
              </w:rPr>
              <w:t>(ff)</w:t>
            </w:r>
          </w:p>
        </w:tc>
        <w:tc>
          <w:tcPr>
            <w:tcW w:w="1140" w:type="dxa"/>
            <w:vAlign w:val="bottom"/>
          </w:tcPr>
          <w:p>
            <w:pPr>
              <w:ind w:left="1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Indenture Supplement, dated as of June 30, 2014, by and among The Bank of New York Mellon (as successor to The Bank of</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New York as successor to JPMorgan Chase Bank, N.A.), as Indenture Trustee, and Crown Castle Towers LLC, Crown Castle</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South LLC, Crown Communication LLC, Crown Castle PT Inc., Crown Communication New York, Inc., Crown Castle</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International Corp. de Puerto Rico, Crown Castle Towers 05 LLC, Crown Castle PR LLC, Crown Castle MU LLC and Crown</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Castle MUPA LLC</w:t>
            </w:r>
          </w:p>
        </w:tc>
      </w:tr>
      <w:tr>
        <w:trPr>
          <w:trHeight w:val="256"/>
        </w:trPr>
        <w:tc>
          <w:tcPr>
            <w:tcW w:w="700" w:type="dxa"/>
            <w:vAlign w:val="bottom"/>
          </w:tcPr>
          <w:p>
            <w:pPr>
              <w:jc w:val="center"/>
              <w:ind w:left="32"/>
              <w:spacing w:after="0"/>
              <w:rPr>
                <w:sz w:val="20"/>
                <w:szCs w:val="20"/>
                <w:color w:val="auto"/>
              </w:rPr>
            </w:pPr>
            <w:r>
              <w:rPr>
                <w:rFonts w:ascii="Arial" w:cs="Arial" w:eastAsia="Arial" w:hAnsi="Arial"/>
                <w:sz w:val="18"/>
                <w:szCs w:val="18"/>
                <w:color w:val="auto"/>
                <w:w w:val="99"/>
              </w:rPr>
              <w:t>(r)</w:t>
            </w:r>
          </w:p>
        </w:tc>
        <w:tc>
          <w:tcPr>
            <w:tcW w:w="1140" w:type="dxa"/>
            <w:vAlign w:val="bottom"/>
          </w:tcPr>
          <w:p>
            <w:pPr>
              <w:ind w:left="1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Indenture dated July 31, 2009, relating to Senior Secured Notes, between Pinnacle Towers Acquisition Holdings LLC, GS Savings</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Inc., GoldenState Towers, LLC, Pinnacle Towers Acquisition LLC, Tower Ventures III, LLC and TVHT, LLC, as Issuers, Global</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Signal Holdings III, LLC, as Guarantor, and The Bank of New York Mellon Trust Company, N.A., as Indenture Trustee</w:t>
            </w:r>
          </w:p>
        </w:tc>
      </w:tr>
      <w:tr>
        <w:trPr>
          <w:trHeight w:val="256"/>
        </w:trPr>
        <w:tc>
          <w:tcPr>
            <w:tcW w:w="700" w:type="dxa"/>
            <w:vAlign w:val="bottom"/>
          </w:tcPr>
          <w:p>
            <w:pPr>
              <w:jc w:val="center"/>
              <w:ind w:left="32"/>
              <w:spacing w:after="0"/>
              <w:rPr>
                <w:sz w:val="20"/>
                <w:szCs w:val="20"/>
                <w:color w:val="auto"/>
              </w:rPr>
            </w:pPr>
            <w:r>
              <w:rPr>
                <w:rFonts w:ascii="Arial" w:cs="Arial" w:eastAsia="Arial" w:hAnsi="Arial"/>
                <w:sz w:val="18"/>
                <w:szCs w:val="18"/>
                <w:color w:val="auto"/>
                <w:w w:val="99"/>
              </w:rPr>
              <w:t>(r)</w:t>
            </w:r>
          </w:p>
        </w:tc>
        <w:tc>
          <w:tcPr>
            <w:tcW w:w="1140" w:type="dxa"/>
            <w:vAlign w:val="bottom"/>
          </w:tcPr>
          <w:p>
            <w:pPr>
              <w:ind w:left="14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Indenture Supplement dated July 31, 2009, relating to Senior Secured Notes, Series 2009-1, between Pinnacle Towers Acquisition</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Holdings LLC, GS Savings Inc., GoldenState Towers, LLC, Pinnacle Towers Acquisition LLC, Tower Ventures III, LLC and</w:t>
            </w:r>
          </w:p>
        </w:tc>
      </w:tr>
      <w:tr>
        <w:trPr>
          <w:trHeight w:val="216"/>
        </w:trPr>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TVHT, LLC, as Issuers, Global Signal Holdings III, LLC, as Guarantor, and The Bank of New York Mellon Trust Company, N.A.,</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as Indenture Trustee</w:t>
            </w:r>
          </w:p>
        </w:tc>
      </w:tr>
      <w:tr>
        <w:trPr>
          <w:trHeight w:val="256"/>
        </w:trPr>
        <w:tc>
          <w:tcPr>
            <w:tcW w:w="700" w:type="dxa"/>
            <w:vAlign w:val="bottom"/>
          </w:tcPr>
          <w:p>
            <w:pPr>
              <w:jc w:val="center"/>
              <w:ind w:left="32"/>
              <w:spacing w:after="0"/>
              <w:rPr>
                <w:sz w:val="20"/>
                <w:szCs w:val="20"/>
                <w:color w:val="auto"/>
              </w:rPr>
            </w:pPr>
            <w:r>
              <w:rPr>
                <w:rFonts w:ascii="Arial" w:cs="Arial" w:eastAsia="Arial" w:hAnsi="Arial"/>
                <w:sz w:val="18"/>
                <w:szCs w:val="18"/>
                <w:color w:val="auto"/>
              </w:rPr>
              <w:t>(w)</w:t>
            </w:r>
          </w:p>
        </w:tc>
        <w:tc>
          <w:tcPr>
            <w:tcW w:w="1140" w:type="dxa"/>
            <w:vAlign w:val="bottom"/>
          </w:tcPr>
          <w:p>
            <w:pPr>
              <w:ind w:left="14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Indenture dated as of October 15, 2012, between Crown Castle International Corp. and The Bank of New York Mellon Trust</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Company, N.A., as Trustee, relating to 5.25% Senior Notes due 2023</w:t>
            </w:r>
          </w:p>
        </w:tc>
      </w:tr>
      <w:tr>
        <w:trPr>
          <w:trHeight w:val="256"/>
        </w:trPr>
        <w:tc>
          <w:tcPr>
            <w:tcW w:w="700" w:type="dxa"/>
            <w:vAlign w:val="bottom"/>
          </w:tcPr>
          <w:p>
            <w:pPr>
              <w:jc w:val="center"/>
              <w:ind w:left="32"/>
              <w:spacing w:after="0"/>
              <w:rPr>
                <w:sz w:val="20"/>
                <w:szCs w:val="20"/>
                <w:color w:val="auto"/>
              </w:rPr>
            </w:pPr>
            <w:r>
              <w:rPr>
                <w:rFonts w:ascii="Arial" w:cs="Arial" w:eastAsia="Arial" w:hAnsi="Arial"/>
                <w:sz w:val="18"/>
                <w:szCs w:val="18"/>
                <w:color w:val="auto"/>
                <w:w w:val="93"/>
              </w:rPr>
              <w:t>(hh)</w:t>
            </w:r>
          </w:p>
        </w:tc>
        <w:tc>
          <w:tcPr>
            <w:tcW w:w="1140" w:type="dxa"/>
            <w:vAlign w:val="bottom"/>
          </w:tcPr>
          <w:p>
            <w:pPr>
              <w:ind w:left="14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First Supplemental Indenture dated as of December 15, 2014, among Crown Castle REIT Inc., Crown Castle International Corp.</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and The Bank of New York Mellon Trust Company, N.A., as Trustee, relating to 5.25% Senior Notes due 2023</w:t>
            </w:r>
          </w:p>
        </w:tc>
      </w:tr>
    </w:tbl>
    <w:p>
      <w:pPr>
        <w:spacing w:after="0" w:line="40" w:lineRule="exact"/>
        <w:rPr>
          <w:sz w:val="20"/>
          <w:szCs w:val="20"/>
          <w:color w:val="auto"/>
        </w:rPr>
      </w:pPr>
    </w:p>
    <w:p>
      <w:pPr>
        <w:ind w:left="1980" w:right="40" w:hanging="1672"/>
        <w:spacing w:after="0" w:line="264" w:lineRule="auto"/>
        <w:tabs>
          <w:tab w:leader="none" w:pos="8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4.13Indenture dated as of December 24, 2012, by and among CC Holdings GS V LLC, Crown Castle GS III Corp., each of the guarantors party thereto and The Bank of New York Mellon Trust Company, N.A., as Trustee, relating to the 2.381% Senior Secured Notes due 2017 and the 3.849% Senior Secured Notes due 2023</w:t>
      </w:r>
    </w:p>
    <w:p>
      <w:pPr>
        <w:spacing w:after="0" w:line="19"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40" w:type="dxa"/>
            <w:vAlign w:val="bottom"/>
          </w:tcPr>
          <w:p>
            <w:pPr>
              <w:jc w:val="center"/>
              <w:ind w:right="30"/>
              <w:spacing w:after="0"/>
              <w:rPr>
                <w:sz w:val="20"/>
                <w:szCs w:val="20"/>
                <w:color w:val="auto"/>
              </w:rPr>
            </w:pPr>
            <w:r>
              <w:rPr>
                <w:rFonts w:ascii="Arial" w:cs="Arial" w:eastAsia="Arial" w:hAnsi="Arial"/>
                <w:sz w:val="18"/>
                <w:szCs w:val="18"/>
                <w:color w:val="auto"/>
                <w:w w:val="87"/>
              </w:rPr>
              <w:t>(ee)</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4.14</w:t>
            </w:r>
          </w:p>
        </w:tc>
        <w:tc>
          <w:tcPr>
            <w:tcW w:w="9800" w:type="dxa"/>
            <w:vAlign w:val="bottom"/>
          </w:tcPr>
          <w:p>
            <w:pPr>
              <w:ind w:left="400"/>
              <w:spacing w:after="0"/>
              <w:rPr>
                <w:sz w:val="20"/>
                <w:szCs w:val="20"/>
                <w:color w:val="auto"/>
              </w:rPr>
            </w:pPr>
            <w:r>
              <w:rPr>
                <w:rFonts w:ascii="Arial" w:cs="Arial" w:eastAsia="Arial" w:hAnsi="Arial"/>
                <w:sz w:val="18"/>
                <w:szCs w:val="18"/>
                <w:color w:val="auto"/>
                <w:w w:val="98"/>
              </w:rPr>
              <w:t>Base Indenture dated April 15, 2014, between Crown Castle International Corp. and The Bank of New York Mellon Trust</w:t>
            </w: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Company, N.A., as trustee</w:t>
            </w:r>
          </w:p>
        </w:tc>
      </w:tr>
      <w:tr>
        <w:trPr>
          <w:trHeight w:val="256"/>
        </w:trPr>
        <w:tc>
          <w:tcPr>
            <w:tcW w:w="440" w:type="dxa"/>
            <w:vAlign w:val="bottom"/>
          </w:tcPr>
          <w:p>
            <w:pPr>
              <w:jc w:val="center"/>
              <w:ind w:right="30"/>
              <w:spacing w:after="0"/>
              <w:rPr>
                <w:sz w:val="20"/>
                <w:szCs w:val="20"/>
                <w:color w:val="auto"/>
              </w:rPr>
            </w:pPr>
            <w:r>
              <w:rPr>
                <w:rFonts w:ascii="Arial" w:cs="Arial" w:eastAsia="Arial" w:hAnsi="Arial"/>
                <w:sz w:val="18"/>
                <w:szCs w:val="18"/>
                <w:color w:val="auto"/>
                <w:w w:val="87"/>
              </w:rPr>
              <w:t>(ee)</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4.15</w:t>
            </w:r>
          </w:p>
        </w:tc>
        <w:tc>
          <w:tcPr>
            <w:tcW w:w="9800" w:type="dxa"/>
            <w:vAlign w:val="bottom"/>
          </w:tcPr>
          <w:p>
            <w:pPr>
              <w:ind w:left="400"/>
              <w:spacing w:after="0"/>
              <w:rPr>
                <w:sz w:val="20"/>
                <w:szCs w:val="20"/>
                <w:color w:val="auto"/>
              </w:rPr>
            </w:pPr>
            <w:r>
              <w:rPr>
                <w:rFonts w:ascii="Arial" w:cs="Arial" w:eastAsia="Arial" w:hAnsi="Arial"/>
                <w:sz w:val="18"/>
                <w:szCs w:val="18"/>
                <w:color w:val="auto"/>
                <w:w w:val="92"/>
              </w:rPr>
              <w:t>First Supplemental Indenture dated April 15, 2014, between Crown Castle International Corp. and The Bank of New York Mellon</w:t>
            </w: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Trust Company, N.A., as trustee, relating to 4.375% Senior Notes due 2022</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3"/>
              </w:rPr>
              <w:t>(hh)</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4.16</w:t>
            </w:r>
          </w:p>
        </w:tc>
        <w:tc>
          <w:tcPr>
            <w:tcW w:w="9800" w:type="dxa"/>
            <w:vAlign w:val="bottom"/>
          </w:tcPr>
          <w:p>
            <w:pPr>
              <w:ind w:left="400"/>
              <w:spacing w:after="0"/>
              <w:rPr>
                <w:sz w:val="20"/>
                <w:szCs w:val="20"/>
                <w:color w:val="auto"/>
              </w:rPr>
            </w:pPr>
            <w:r>
              <w:rPr>
                <w:rFonts w:ascii="Arial" w:cs="Arial" w:eastAsia="Arial" w:hAnsi="Arial"/>
                <w:sz w:val="18"/>
                <w:szCs w:val="18"/>
                <w:color w:val="auto"/>
                <w:w w:val="92"/>
              </w:rPr>
              <w:t>Second Supplemental Indenture dated December 15, 2014, between Crown Castle REIT Inc., Crown Castle International Corp.</w:t>
            </w: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and The Bank of New York Mellon Trust Company, N.A., as trustee</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3"/>
              </w:rPr>
              <w:t>(hh)</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4.17</w:t>
            </w:r>
          </w:p>
        </w:tc>
        <w:tc>
          <w:tcPr>
            <w:tcW w:w="9800" w:type="dxa"/>
            <w:vAlign w:val="bottom"/>
          </w:tcPr>
          <w:p>
            <w:pPr>
              <w:ind w:left="400"/>
              <w:spacing w:after="0"/>
              <w:rPr>
                <w:sz w:val="20"/>
                <w:szCs w:val="20"/>
                <w:color w:val="auto"/>
              </w:rPr>
            </w:pPr>
            <w:r>
              <w:rPr>
                <w:rFonts w:ascii="Arial" w:cs="Arial" w:eastAsia="Arial" w:hAnsi="Arial"/>
                <w:sz w:val="18"/>
                <w:szCs w:val="18"/>
                <w:color w:val="auto"/>
                <w:w w:val="91"/>
              </w:rPr>
              <w:t>Third Supplemental Indenture dated December 15, 2014, between Crown Castle REIT Inc., Crown Castle International Corp. and</w:t>
            </w: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The Bank of New York Mellon Trust Company, N.A., as trustee</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9"/>
              </w:rPr>
              <w:t>(kk)</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4.18</w:t>
            </w:r>
          </w:p>
        </w:tc>
        <w:tc>
          <w:tcPr>
            <w:tcW w:w="9800" w:type="dxa"/>
            <w:vAlign w:val="bottom"/>
          </w:tcPr>
          <w:p>
            <w:pPr>
              <w:ind w:left="400"/>
              <w:spacing w:after="0"/>
              <w:rPr>
                <w:sz w:val="20"/>
                <w:szCs w:val="20"/>
                <w:color w:val="auto"/>
              </w:rPr>
            </w:pPr>
            <w:r>
              <w:rPr>
                <w:rFonts w:ascii="Arial" w:cs="Arial" w:eastAsia="Arial" w:hAnsi="Arial"/>
                <w:sz w:val="18"/>
                <w:szCs w:val="18"/>
                <w:color w:val="auto"/>
                <w:w w:val="93"/>
              </w:rPr>
              <w:t>Indenture Supplement, dated as of May 15, 2015, relating to the Senior Secured Tower Revenue Notes, Series 2015-1, by and</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92"/>
              </w:rPr>
              <w:t>among The Bank of New York Mellon (as successor to The Bank of New York as successor to JPMorgan Chase Bank, N.A.), as</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92"/>
              </w:rPr>
              <w:t>Indenture Trustee, and Crown Castle Towers LLC, Crown Castle South LLC, Crown Communication LLC, Crown Castle Towers</w:t>
            </w: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05 LLC, Crown Castle PR LLC, Crown Castle MU LLC and Crown Castle MUPA LLC, collectively as Issuers</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9"/>
              </w:rPr>
              <w:t>(kk)</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4.19</w:t>
            </w:r>
          </w:p>
        </w:tc>
        <w:tc>
          <w:tcPr>
            <w:tcW w:w="9800" w:type="dxa"/>
            <w:vAlign w:val="bottom"/>
          </w:tcPr>
          <w:p>
            <w:pPr>
              <w:ind w:left="400"/>
              <w:spacing w:after="0"/>
              <w:rPr>
                <w:sz w:val="20"/>
                <w:szCs w:val="20"/>
                <w:color w:val="auto"/>
              </w:rPr>
            </w:pPr>
            <w:r>
              <w:rPr>
                <w:rFonts w:ascii="Arial" w:cs="Arial" w:eastAsia="Arial" w:hAnsi="Arial"/>
                <w:sz w:val="18"/>
                <w:szCs w:val="18"/>
                <w:color w:val="auto"/>
                <w:w w:val="93"/>
              </w:rPr>
              <w:t>Indenture Supplement, dated as of May 15, 2015, relating to the Senior Secured Tower Revenue Notes, Series 2015-2, by and</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92"/>
              </w:rPr>
              <w:t>among The Bank of New York Mellon (as successor to The Bank of New York as successor to JPMorgan Chase Bank, N.A.), as</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92"/>
              </w:rPr>
              <w:t>Indenture Trustee, and Crown Castle Towers LLC, Crown Castle South LLC, Crown Communication LLC, Crown Castle Towers</w:t>
            </w: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05 LLC, Crown Castle PR LLC, Crown Castle MU LLC and Crown Castle MUPA LLC, collectively as Issuers</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3"/>
              </w:rPr>
              <w:t>(pp)</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4.20</w:t>
            </w:r>
          </w:p>
        </w:tc>
        <w:tc>
          <w:tcPr>
            <w:tcW w:w="9800" w:type="dxa"/>
            <w:vAlign w:val="bottom"/>
          </w:tcPr>
          <w:p>
            <w:pPr>
              <w:ind w:left="400"/>
              <w:spacing w:after="0"/>
              <w:rPr>
                <w:sz w:val="20"/>
                <w:szCs w:val="20"/>
                <w:color w:val="auto"/>
              </w:rPr>
            </w:pPr>
            <w:r>
              <w:rPr>
                <w:rFonts w:ascii="Arial" w:cs="Arial" w:eastAsia="Arial" w:hAnsi="Arial"/>
                <w:sz w:val="18"/>
                <w:szCs w:val="18"/>
                <w:color w:val="auto"/>
                <w:w w:val="93"/>
              </w:rPr>
              <w:t>Fourth Supplemental Indenture dated February 8, 2016 between Crown Castle International Corp. and The Bank of New York</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91"/>
              </w:rPr>
              <w:t>Mellon Trust Company, N.A., as trustee, to the Indenture dated April 15, 2014, between Crown Castle international corp. and The</w:t>
            </w: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Bank of New York Mellon Trust Company, N.A., as trustee</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9"/>
              </w:rPr>
              <w:t>(b)</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9800" w:type="dxa"/>
            <w:vAlign w:val="bottom"/>
          </w:tcPr>
          <w:p>
            <w:pPr>
              <w:ind w:left="400"/>
              <w:spacing w:after="0"/>
              <w:rPr>
                <w:sz w:val="20"/>
                <w:szCs w:val="20"/>
                <w:color w:val="auto"/>
              </w:rPr>
            </w:pPr>
            <w:r>
              <w:rPr>
                <w:rFonts w:ascii="Arial" w:cs="Arial" w:eastAsia="Arial" w:hAnsi="Arial"/>
                <w:sz w:val="18"/>
                <w:szCs w:val="18"/>
                <w:color w:val="auto"/>
                <w:w w:val="90"/>
              </w:rPr>
              <w:t>Global Lease Agreement dated March 31, 1999 between Crown Atlantic Company LLC and Cellco Partnership, doing business as</w:t>
            </w: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Bell Atlantic Mobile</w:t>
            </w:r>
          </w:p>
        </w:tc>
      </w:tr>
      <w:tr>
        <w:trPr>
          <w:trHeight w:val="486"/>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0" w:type="dxa"/>
            <w:vAlign w:val="bottom"/>
          </w:tcPr>
          <w:p>
            <w:pPr>
              <w:ind w:left="404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346"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43"/>
        </w:trPr>
        <w:tc>
          <w:tcPr>
            <w:tcW w:w="700" w:type="dxa"/>
            <w:vAlign w:val="bottom"/>
            <w:tcBorders>
              <w:top w:val="single" w:sz="8" w:color="auto"/>
            </w:tcBorders>
          </w:tcPr>
          <w:p>
            <w:pPr>
              <w:jc w:val="center"/>
              <w:ind w:left="32"/>
              <w:spacing w:after="0"/>
              <w:rPr>
                <w:sz w:val="20"/>
                <w:szCs w:val="20"/>
                <w:color w:val="auto"/>
              </w:rPr>
            </w:pPr>
            <w:r>
              <w:rPr>
                <w:rFonts w:ascii="Arial" w:cs="Arial" w:eastAsia="Arial" w:hAnsi="Arial"/>
                <w:sz w:val="18"/>
                <w:szCs w:val="18"/>
                <w:color w:val="auto"/>
              </w:rPr>
              <w:t>(f)</w:t>
            </w:r>
          </w:p>
        </w:tc>
        <w:tc>
          <w:tcPr>
            <w:tcW w:w="11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Form of Severance Agreement between Crown Castle International Corp. and each of W. Benjamin Moreland and E. Blake Hawk</w:t>
            </w:r>
          </w:p>
        </w:tc>
      </w:tr>
      <w:tr>
        <w:trPr>
          <w:trHeight w:val="256"/>
        </w:trPr>
        <w:tc>
          <w:tcPr>
            <w:tcW w:w="700" w:type="dxa"/>
            <w:vAlign w:val="bottom"/>
          </w:tcPr>
          <w:p>
            <w:pPr>
              <w:jc w:val="center"/>
              <w:ind w:left="32"/>
              <w:spacing w:after="0"/>
              <w:rPr>
                <w:sz w:val="20"/>
                <w:szCs w:val="20"/>
                <w:color w:val="auto"/>
              </w:rPr>
            </w:pPr>
            <w:r>
              <w:rPr>
                <w:rFonts w:ascii="Arial" w:cs="Arial" w:eastAsia="Arial" w:hAnsi="Arial"/>
                <w:sz w:val="18"/>
                <w:szCs w:val="18"/>
                <w:color w:val="auto"/>
                <w:w w:val="96"/>
              </w:rPr>
              <w:t>(m)</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Form of First Amendment to Severance Agreement between Crown Castle International Corp. and each of W. Benjamin Moreland</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and E. Blake Hawk</w:t>
            </w:r>
          </w:p>
        </w:tc>
      </w:tr>
      <w:tr>
        <w:trPr>
          <w:trHeight w:val="256"/>
        </w:trPr>
        <w:tc>
          <w:tcPr>
            <w:tcW w:w="700" w:type="dxa"/>
            <w:vAlign w:val="bottom"/>
          </w:tcPr>
          <w:p>
            <w:pPr>
              <w:jc w:val="center"/>
              <w:ind w:left="32"/>
              <w:spacing w:after="0"/>
              <w:rPr>
                <w:sz w:val="20"/>
                <w:szCs w:val="20"/>
                <w:color w:val="auto"/>
              </w:rPr>
            </w:pPr>
            <w:r>
              <w:rPr>
                <w:rFonts w:ascii="Arial" w:cs="Arial" w:eastAsia="Arial" w:hAnsi="Arial"/>
                <w:sz w:val="18"/>
                <w:szCs w:val="18"/>
                <w:color w:val="auto"/>
                <w:w w:val="99"/>
              </w:rPr>
              <w:t>(q)</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Form of Amendment to Severance Agreement between Crown Castle International Corp. and each of W. Benjamin Moreland and</w:t>
            </w:r>
          </w:p>
        </w:tc>
      </w:tr>
      <w:tr>
        <w:trPr>
          <w:trHeight w:val="230"/>
        </w:trPr>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 Blake Hawk, effective April 6, 2009</w:t>
            </w:r>
          </w:p>
        </w:tc>
      </w:tr>
      <w:tr>
        <w:trPr>
          <w:trHeight w:val="270"/>
        </w:trPr>
        <w:tc>
          <w:tcPr>
            <w:tcW w:w="700" w:type="dxa"/>
            <w:vAlign w:val="bottom"/>
          </w:tcPr>
          <w:p>
            <w:pPr>
              <w:jc w:val="center"/>
              <w:ind w:left="32"/>
              <w:spacing w:after="0"/>
              <w:rPr>
                <w:sz w:val="20"/>
                <w:szCs w:val="20"/>
                <w:color w:val="auto"/>
              </w:rPr>
            </w:pPr>
            <w:r>
              <w:rPr>
                <w:rFonts w:ascii="Arial" w:cs="Arial" w:eastAsia="Arial" w:hAnsi="Arial"/>
                <w:sz w:val="18"/>
                <w:szCs w:val="18"/>
                <w:color w:val="auto"/>
              </w:rPr>
              <w:t>(l)</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Crown Castle International Corp. 2004 Stock Incentive Plan, as amended</w:t>
            </w:r>
          </w:p>
        </w:tc>
      </w:tr>
      <w:tr>
        <w:trPr>
          <w:trHeight w:val="270"/>
        </w:trPr>
        <w:tc>
          <w:tcPr>
            <w:tcW w:w="700" w:type="dxa"/>
            <w:vAlign w:val="bottom"/>
          </w:tcPr>
          <w:p>
            <w:pPr>
              <w:jc w:val="center"/>
              <w:ind w:left="52"/>
              <w:spacing w:after="0"/>
              <w:rPr>
                <w:sz w:val="20"/>
                <w:szCs w:val="20"/>
                <w:color w:val="auto"/>
              </w:rPr>
            </w:pPr>
            <w:r>
              <w:rPr>
                <w:rFonts w:ascii="Arial" w:cs="Arial" w:eastAsia="Arial" w:hAnsi="Arial"/>
                <w:sz w:val="18"/>
                <w:szCs w:val="18"/>
                <w:color w:val="auto"/>
                <w:w w:val="87"/>
              </w:rPr>
              <w:t>(aa)</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Amendment to 2004 Stock Incentive Plan, as amended</w:t>
            </w:r>
          </w:p>
        </w:tc>
      </w:tr>
      <w:tr>
        <w:trPr>
          <w:trHeight w:val="270"/>
        </w:trPr>
        <w:tc>
          <w:tcPr>
            <w:tcW w:w="700" w:type="dxa"/>
            <w:vAlign w:val="bottom"/>
          </w:tcPr>
          <w:p>
            <w:pPr>
              <w:jc w:val="center"/>
              <w:ind w:left="52"/>
              <w:spacing w:after="0"/>
              <w:rPr>
                <w:sz w:val="20"/>
                <w:szCs w:val="20"/>
                <w:color w:val="auto"/>
              </w:rPr>
            </w:pPr>
            <w:r>
              <w:rPr>
                <w:rFonts w:ascii="Arial" w:cs="Arial" w:eastAsia="Arial" w:hAnsi="Arial"/>
                <w:sz w:val="18"/>
                <w:szCs w:val="18"/>
                <w:color w:val="auto"/>
                <w:w w:val="95"/>
              </w:rPr>
              <w:t>(z)</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Crown Castle International Corp. 2013 Long-Term Incentive Plan</w:t>
            </w:r>
          </w:p>
        </w:tc>
      </w:tr>
      <w:tr>
        <w:trPr>
          <w:trHeight w:val="270"/>
        </w:trPr>
        <w:tc>
          <w:tcPr>
            <w:tcW w:w="700" w:type="dxa"/>
            <w:vAlign w:val="bottom"/>
          </w:tcPr>
          <w:p>
            <w:pPr>
              <w:jc w:val="center"/>
              <w:ind w:left="32"/>
              <w:spacing w:after="0"/>
              <w:rPr>
                <w:sz w:val="20"/>
                <w:szCs w:val="20"/>
                <w:color w:val="auto"/>
              </w:rPr>
            </w:pPr>
            <w:r>
              <w:rPr>
                <w:rFonts w:ascii="Arial" w:cs="Arial" w:eastAsia="Arial" w:hAnsi="Arial"/>
                <w:sz w:val="18"/>
                <w:szCs w:val="18"/>
                <w:color w:val="auto"/>
                <w:w w:val="99"/>
              </w:rPr>
              <w:t>(h)</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Form of Restricted Stock Agreement pursuant to 2004 Stock Incentive Plan</w:t>
            </w:r>
          </w:p>
        </w:tc>
      </w:tr>
      <w:tr>
        <w:trPr>
          <w:trHeight w:val="270"/>
        </w:trPr>
        <w:tc>
          <w:tcPr>
            <w:tcW w:w="700" w:type="dxa"/>
            <w:vAlign w:val="bottom"/>
          </w:tcPr>
          <w:p>
            <w:pPr>
              <w:jc w:val="center"/>
              <w:ind w:left="32"/>
              <w:spacing w:after="0"/>
              <w:rPr>
                <w:sz w:val="20"/>
                <w:szCs w:val="20"/>
                <w:color w:val="auto"/>
              </w:rPr>
            </w:pPr>
            <w:r>
              <w:rPr>
                <w:rFonts w:ascii="Arial" w:cs="Arial" w:eastAsia="Arial" w:hAnsi="Arial"/>
                <w:sz w:val="18"/>
                <w:szCs w:val="18"/>
                <w:color w:val="auto"/>
                <w:w w:val="99"/>
              </w:rPr>
              <w:t>(h)</w:t>
            </w: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Form of Severance Agreement between Crown Castle International Corp. and James D. Young</w:t>
            </w:r>
          </w:p>
        </w:tc>
      </w:tr>
    </w:tbl>
    <w:p>
      <w:pPr>
        <w:spacing w:after="0" w:line="40" w:lineRule="exact"/>
        <w:rPr>
          <w:sz w:val="20"/>
          <w:szCs w:val="20"/>
          <w:color w:val="auto"/>
        </w:rPr>
      </w:pPr>
    </w:p>
    <w:p>
      <w:pPr>
        <w:ind w:left="1980" w:right="40" w:hanging="1697"/>
        <w:spacing w:after="0" w:line="277" w:lineRule="auto"/>
        <w:tabs>
          <w:tab w:leader="none" w:pos="8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10.10Form of First Amendment to Severance Agreement between Crown Castle International Corp and certain senior officers, including James D. Young</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9"/>
              </w:rPr>
              <w:t>(n)</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10.11</w:t>
            </w:r>
          </w:p>
        </w:tc>
        <w:tc>
          <w:tcPr>
            <w:tcW w:w="9780" w:type="dxa"/>
            <w:vAlign w:val="bottom"/>
          </w:tcPr>
          <w:p>
            <w:pPr>
              <w:ind w:left="360"/>
              <w:spacing w:after="0"/>
              <w:rPr>
                <w:sz w:val="20"/>
                <w:szCs w:val="20"/>
                <w:color w:val="auto"/>
              </w:rPr>
            </w:pPr>
            <w:r>
              <w:rPr>
                <w:rFonts w:ascii="Arial" w:cs="Arial" w:eastAsia="Arial" w:hAnsi="Arial"/>
                <w:sz w:val="18"/>
                <w:szCs w:val="18"/>
                <w:color w:val="auto"/>
                <w:w w:val="98"/>
              </w:rPr>
              <w:t>Form of Severance Agreement between Crown Castle International Corp. and each of Jay A. Brown and Philip M. Kelley</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9"/>
              </w:rPr>
              <w:t>(q)</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10.12</w:t>
            </w:r>
          </w:p>
        </w:tc>
        <w:tc>
          <w:tcPr>
            <w:tcW w:w="9780" w:type="dxa"/>
            <w:vAlign w:val="bottom"/>
          </w:tcPr>
          <w:p>
            <w:pPr>
              <w:ind w:left="360"/>
              <w:spacing w:after="0"/>
              <w:rPr>
                <w:sz w:val="20"/>
                <w:szCs w:val="20"/>
                <w:color w:val="auto"/>
              </w:rPr>
            </w:pPr>
            <w:r>
              <w:rPr>
                <w:rFonts w:ascii="Arial" w:cs="Arial" w:eastAsia="Arial" w:hAnsi="Arial"/>
                <w:sz w:val="18"/>
                <w:szCs w:val="18"/>
                <w:color w:val="auto"/>
                <w:w w:val="91"/>
              </w:rPr>
              <w:t>Form of Amendment to Severance Agreement between Crown Castle International Corp. and certain senior officers, including Jay</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A. Brown, James D. Young and Philip M. Kelley, effective April 6, 2009</w:t>
            </w:r>
          </w:p>
        </w:tc>
      </w:tr>
      <w:tr>
        <w:trPr>
          <w:trHeight w:val="270"/>
        </w:trPr>
        <w:tc>
          <w:tcPr>
            <w:tcW w:w="440" w:type="dxa"/>
            <w:vAlign w:val="bottom"/>
          </w:tcPr>
          <w:p>
            <w:pPr>
              <w:jc w:val="center"/>
              <w:ind w:right="50"/>
              <w:spacing w:after="0"/>
              <w:rPr>
                <w:sz w:val="20"/>
                <w:szCs w:val="20"/>
                <w:color w:val="auto"/>
              </w:rPr>
            </w:pPr>
            <w:r>
              <w:rPr>
                <w:rFonts w:ascii="Arial" w:cs="Arial" w:eastAsia="Arial" w:hAnsi="Arial"/>
                <w:sz w:val="18"/>
                <w:szCs w:val="18"/>
                <w:color w:val="auto"/>
              </w:rPr>
              <w:t>(ii)</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10.13</w:t>
            </w:r>
          </w:p>
        </w:tc>
        <w:tc>
          <w:tcPr>
            <w:tcW w:w="9780" w:type="dxa"/>
            <w:vAlign w:val="bottom"/>
          </w:tcPr>
          <w:p>
            <w:pPr>
              <w:ind w:left="360"/>
              <w:spacing w:after="0"/>
              <w:rPr>
                <w:sz w:val="20"/>
                <w:szCs w:val="20"/>
                <w:color w:val="auto"/>
              </w:rPr>
            </w:pPr>
            <w:r>
              <w:rPr>
                <w:rFonts w:ascii="Arial" w:cs="Arial" w:eastAsia="Arial" w:hAnsi="Arial"/>
                <w:sz w:val="18"/>
                <w:szCs w:val="18"/>
                <w:color w:val="auto"/>
              </w:rPr>
              <w:t>Crown Castle International Corp. 2015 Executive Management Team Annual Incentive Plan</w:t>
            </w:r>
          </w:p>
        </w:tc>
      </w:tr>
      <w:tr>
        <w:trPr>
          <w:trHeight w:val="270"/>
        </w:trPr>
        <w:tc>
          <w:tcPr>
            <w:tcW w:w="440" w:type="dxa"/>
            <w:vAlign w:val="bottom"/>
          </w:tcPr>
          <w:p>
            <w:pPr>
              <w:jc w:val="center"/>
              <w:ind w:right="50"/>
              <w:spacing w:after="0"/>
              <w:rPr>
                <w:sz w:val="20"/>
                <w:szCs w:val="20"/>
                <w:color w:val="auto"/>
              </w:rPr>
            </w:pPr>
            <w:r>
              <w:rPr>
                <w:rFonts w:ascii="Arial" w:cs="Arial" w:eastAsia="Arial" w:hAnsi="Arial"/>
                <w:sz w:val="18"/>
                <w:szCs w:val="18"/>
                <w:color w:val="auto"/>
                <w:w w:val="93"/>
              </w:rPr>
              <w:t>(dd)</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10.14</w:t>
            </w:r>
          </w:p>
        </w:tc>
        <w:tc>
          <w:tcPr>
            <w:tcW w:w="9780" w:type="dxa"/>
            <w:vAlign w:val="bottom"/>
          </w:tcPr>
          <w:p>
            <w:pPr>
              <w:ind w:left="360"/>
              <w:spacing w:after="0"/>
              <w:rPr>
                <w:sz w:val="20"/>
                <w:szCs w:val="20"/>
                <w:color w:val="auto"/>
              </w:rPr>
            </w:pPr>
            <w:r>
              <w:rPr>
                <w:rFonts w:ascii="Arial" w:cs="Arial" w:eastAsia="Arial" w:hAnsi="Arial"/>
                <w:sz w:val="18"/>
                <w:szCs w:val="18"/>
                <w:color w:val="auto"/>
              </w:rPr>
              <w:t>Form of 2013 Long-Term Incentive Plan Restricted Stock Units Agreement</w:t>
            </w:r>
          </w:p>
        </w:tc>
      </w:tr>
      <w:tr>
        <w:trPr>
          <w:trHeight w:val="270"/>
        </w:trPr>
        <w:tc>
          <w:tcPr>
            <w:tcW w:w="440" w:type="dxa"/>
            <w:vAlign w:val="bottom"/>
          </w:tcPr>
          <w:p>
            <w:pPr>
              <w:jc w:val="center"/>
              <w:ind w:right="50"/>
              <w:spacing w:after="0"/>
              <w:rPr>
                <w:sz w:val="20"/>
                <w:szCs w:val="20"/>
                <w:color w:val="auto"/>
              </w:rPr>
            </w:pPr>
            <w:r>
              <w:rPr>
                <w:rFonts w:ascii="Arial" w:cs="Arial" w:eastAsia="Arial" w:hAnsi="Arial"/>
                <w:sz w:val="18"/>
                <w:szCs w:val="18"/>
                <w:color w:val="auto"/>
              </w:rPr>
              <w:t>(ii)</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10.15</w:t>
            </w:r>
          </w:p>
        </w:tc>
        <w:tc>
          <w:tcPr>
            <w:tcW w:w="9780" w:type="dxa"/>
            <w:vAlign w:val="bottom"/>
          </w:tcPr>
          <w:p>
            <w:pPr>
              <w:ind w:left="360"/>
              <w:spacing w:after="0"/>
              <w:rPr>
                <w:sz w:val="20"/>
                <w:szCs w:val="20"/>
                <w:color w:val="auto"/>
              </w:rPr>
            </w:pPr>
            <w:r>
              <w:rPr>
                <w:rFonts w:ascii="Arial" w:cs="Arial" w:eastAsia="Arial" w:hAnsi="Arial"/>
                <w:sz w:val="18"/>
                <w:szCs w:val="18"/>
                <w:color w:val="auto"/>
              </w:rPr>
              <w:t>Summary of Non-employee Director Compensation</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rPr>
              <w:t>(i)</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10.16</w:t>
            </w:r>
          </w:p>
        </w:tc>
        <w:tc>
          <w:tcPr>
            <w:tcW w:w="9780" w:type="dxa"/>
            <w:vAlign w:val="bottom"/>
          </w:tcPr>
          <w:p>
            <w:pPr>
              <w:ind w:left="360"/>
              <w:spacing w:after="0"/>
              <w:rPr>
                <w:sz w:val="20"/>
                <w:szCs w:val="20"/>
                <w:color w:val="auto"/>
              </w:rPr>
            </w:pPr>
            <w:r>
              <w:rPr>
                <w:rFonts w:ascii="Arial" w:cs="Arial" w:eastAsia="Arial" w:hAnsi="Arial"/>
                <w:sz w:val="18"/>
                <w:szCs w:val="18"/>
                <w:color w:val="auto"/>
                <w:w w:val="90"/>
              </w:rPr>
              <w:t>Management Agreement, dated as of June 8, 2005, by and among Crown Castle USA Inc., as Manager, and Crown Castle Towers</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7"/>
              </w:rPr>
              <w:t>LLC, Crown Castle South LLC, Crown Communication Inc., Crown Castle PT Inc., Crown Communication New York, Inc.,</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Crown Castle International Corp. de Puerto Rico, Crown Castle GT Holding Sub LLC and Crown Castle Atlantic LLC,</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collectively as Owners</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rPr>
              <w:t>(j)</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10.17</w:t>
            </w:r>
          </w:p>
        </w:tc>
        <w:tc>
          <w:tcPr>
            <w:tcW w:w="9780" w:type="dxa"/>
            <w:vAlign w:val="bottom"/>
          </w:tcPr>
          <w:p>
            <w:pPr>
              <w:ind w:left="360"/>
              <w:spacing w:after="0"/>
              <w:rPr>
                <w:sz w:val="20"/>
                <w:szCs w:val="20"/>
                <w:color w:val="auto"/>
              </w:rPr>
            </w:pPr>
            <w:r>
              <w:rPr>
                <w:rFonts w:ascii="Arial" w:cs="Arial" w:eastAsia="Arial" w:hAnsi="Arial"/>
                <w:sz w:val="18"/>
                <w:szCs w:val="18"/>
                <w:color w:val="auto"/>
                <w:w w:val="90"/>
              </w:rPr>
              <w:t>Management Agreement Amendment, dated September 26, 2006, by and among Crown Castle USA Inc., as Manager, and Crown</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3"/>
              </w:rPr>
              <w:t>Castle Towers LLC, Crown Castle South LLC, Crown Communication Inc., Crown Castle PT Inc., Crown Communication New</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6"/>
              </w:rPr>
              <w:t>York, Inc., Crown Castle International Corp. de Puerto Rico, Crown Castle GT Holding Sub LLC and Crown Castle Atlantic</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LLC, collectively, as Owners</w:t>
            </w:r>
          </w:p>
        </w:tc>
      </w:tr>
      <w:tr>
        <w:trPr>
          <w:trHeight w:val="256"/>
        </w:trPr>
        <w:tc>
          <w:tcPr>
            <w:tcW w:w="440" w:type="dxa"/>
            <w:vAlign w:val="bottom"/>
          </w:tcPr>
          <w:p>
            <w:pPr>
              <w:jc w:val="center"/>
              <w:ind w:right="50"/>
              <w:spacing w:after="0"/>
              <w:rPr>
                <w:sz w:val="20"/>
                <w:szCs w:val="20"/>
                <w:color w:val="auto"/>
              </w:rPr>
            </w:pPr>
            <w:r>
              <w:rPr>
                <w:rFonts w:ascii="Arial" w:cs="Arial" w:eastAsia="Arial" w:hAnsi="Arial"/>
                <w:sz w:val="18"/>
                <w:szCs w:val="18"/>
                <w:color w:val="auto"/>
              </w:rPr>
              <w:t>(k)</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10.18</w:t>
            </w:r>
          </w:p>
        </w:tc>
        <w:tc>
          <w:tcPr>
            <w:tcW w:w="9780" w:type="dxa"/>
            <w:vAlign w:val="bottom"/>
          </w:tcPr>
          <w:p>
            <w:pPr>
              <w:ind w:left="360"/>
              <w:spacing w:after="0"/>
              <w:rPr>
                <w:sz w:val="20"/>
                <w:szCs w:val="20"/>
                <w:color w:val="auto"/>
              </w:rPr>
            </w:pPr>
            <w:r>
              <w:rPr>
                <w:rFonts w:ascii="Arial" w:cs="Arial" w:eastAsia="Arial" w:hAnsi="Arial"/>
                <w:sz w:val="18"/>
                <w:szCs w:val="18"/>
                <w:color w:val="auto"/>
                <w:w w:val="91"/>
              </w:rPr>
              <w:t>Joinder and Amendment to Management Agreement, dated as of November 29, 2006, by and among Crown Castle USA Inc., as</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3"/>
              </w:rPr>
              <w:t>Manager, and Crown Castle Towers LLC, Crown Castle South LLC, Crown Communication Inc., Crown Castle PT Inc., Crown</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3"/>
              </w:rPr>
              <w:t>Communication New York, Inc., Crown Castle International Corp. de Puerto Rico, Crown Castle Towers 05 LLC, Crown Castle</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7"/>
              </w:rPr>
              <w:t>PR LLC, Crown Castle MU LLC, Crown Castle MUPA LLC, Crown Castle GT Holding Sub LLC and Crown Castle Atlantic</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LLC, collectively as Owners</w:t>
            </w:r>
          </w:p>
        </w:tc>
      </w:tr>
    </w:tbl>
    <w:p>
      <w:pPr>
        <w:spacing w:after="0" w:line="40" w:lineRule="exact"/>
        <w:rPr>
          <w:sz w:val="20"/>
          <w:szCs w:val="20"/>
          <w:color w:val="auto"/>
        </w:rPr>
      </w:pPr>
    </w:p>
    <w:p>
      <w:pPr>
        <w:ind w:left="1980" w:right="20" w:hanging="1652"/>
        <w:spacing w:after="0" w:line="257" w:lineRule="auto"/>
        <w:tabs>
          <w:tab w:leader="none" w:pos="8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10.19Cash Management Agreement, dated as of June 8, 2005, by and among Crown Castle Towers LLC, Crown Castle South LLC, Crown Communication Inc., Crown Castle PT Inc., Crown Communication New York, Inc. and Crown Castle International Corp. de Puerto Rico, as Issuers, JPMorgan Chase Bank, N.A., as Indenture Trustee, Crown Castle USA Inc., as Manager, Crown Castle GT Holding Sub LLC, as Member of Crown Castle GT Company LLC, and Crown Castle Atlantic LLC, as Member of Crown Atlantic Company LLC</w:t>
      </w:r>
    </w:p>
    <w:p>
      <w:pPr>
        <w:spacing w:after="0" w:line="26" w:lineRule="exact"/>
        <w:rPr>
          <w:sz w:val="20"/>
          <w:szCs w:val="20"/>
          <w:color w:val="auto"/>
        </w:rPr>
      </w:pPr>
    </w:p>
    <w:p>
      <w:pPr>
        <w:ind w:left="1980" w:right="40" w:hanging="1672"/>
        <w:spacing w:after="0" w:line="273" w:lineRule="auto"/>
        <w:tabs>
          <w:tab w:leader="none" w:pos="8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10.20</w:t>
      </w:r>
      <w:r>
        <w:rPr>
          <w:rFonts w:ascii="Arial" w:cs="Arial" w:eastAsia="Arial" w:hAnsi="Arial"/>
          <w:sz w:val="17"/>
          <w:szCs w:val="17"/>
          <w:color w:val="auto"/>
        </w:rPr>
        <w:t>Joinder to Cash Management Agreement, dated as of November 29, 2006, by and among Crown Castle Towers LLC, Crown Castle South LLC, Crown Communication Inc., Crown Castle PT Inc., Crown Communication New York, Inc. and Crown Castle International Corp. de Puerto Rico, Crown Castle Towers 05 LLC, Crown Castle PR LLC, Crown Castle MU LLC, Crown Castle MUPA LLC, as Issuers, The Bank of New York (as successor to JPMorgan Chase Bank, N.A.), as Indenture Trustee, Crown Castle USA Inc., as Manager, Crown Castle GT Holding Sub LLC, as Member of Crown Castle GT Company LLC, and Crown Castle Atlantic LLC, as Member of Crown Atlantic Company LLC</w:t>
      </w:r>
    </w:p>
    <w:p>
      <w:pPr>
        <w:spacing w:after="0" w:line="16" w:lineRule="exact"/>
        <w:rPr>
          <w:sz w:val="20"/>
          <w:szCs w:val="20"/>
          <w:color w:val="auto"/>
        </w:rPr>
      </w:pPr>
    </w:p>
    <w:p>
      <w:pPr>
        <w:ind w:left="1980" w:right="40" w:hanging="1652"/>
        <w:spacing w:after="0" w:line="277" w:lineRule="auto"/>
        <w:tabs>
          <w:tab w:leader="none" w:pos="8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10.21Servicing Agreement, dated as of June 8, 2005, by and among Midland Loan Services, Inc., as Servicer, and JPMorgan Chase Bank, N.A., as Indenture Trustee</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(o)</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10.22</w:t>
            </w:r>
          </w:p>
        </w:tc>
        <w:tc>
          <w:tcPr>
            <w:tcW w:w="9760" w:type="dxa"/>
            <w:vAlign w:val="bottom"/>
          </w:tcPr>
          <w:p>
            <w:pPr>
              <w:ind w:left="360"/>
              <w:spacing w:after="0"/>
              <w:rPr>
                <w:sz w:val="20"/>
                <w:szCs w:val="20"/>
                <w:color w:val="auto"/>
              </w:rPr>
            </w:pPr>
            <w:r>
              <w:rPr>
                <w:rFonts w:ascii="Arial" w:cs="Arial" w:eastAsia="Arial" w:hAnsi="Arial"/>
                <w:sz w:val="18"/>
                <w:szCs w:val="18"/>
                <w:color w:val="auto"/>
                <w:w w:val="91"/>
              </w:rPr>
              <w:t>Agreement to Contribute, Lease and Sublease, dated as of February 14, 2005 among Sprint Corporation, the Sprint subsidiaries</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named therein and Global Signal Inc.</w:t>
            </w:r>
          </w:p>
        </w:tc>
      </w:tr>
    </w:tbl>
    <w:p>
      <w:pPr>
        <w:spacing w:after="0" w:line="40" w:lineRule="exact"/>
        <w:rPr>
          <w:sz w:val="20"/>
          <w:szCs w:val="20"/>
          <w:color w:val="auto"/>
        </w:rPr>
      </w:pPr>
    </w:p>
    <w:p>
      <w:pPr>
        <w:ind w:left="1980" w:right="40" w:hanging="1672"/>
        <w:spacing w:after="0" w:line="277" w:lineRule="auto"/>
        <w:tabs>
          <w:tab w:leader="none" w:pos="8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10.23Master Lease and Sublease, dated as of May 26, 2005, by and among STC One LLC, as lessor, Sprint Telephony PCS L.P., as Sprint Collocator, Global Signal Acquisitions II LLC, as lessee, and Global Signal Inc.</w:t>
      </w:r>
    </w:p>
    <w:p>
      <w:pPr>
        <w:spacing w:after="0" w:line="8" w:lineRule="exact"/>
        <w:rPr>
          <w:sz w:val="20"/>
          <w:szCs w:val="20"/>
          <w:color w:val="auto"/>
        </w:rPr>
      </w:pPr>
    </w:p>
    <w:p>
      <w:pPr>
        <w:ind w:left="1980" w:right="40" w:hanging="1672"/>
        <w:spacing w:after="0" w:line="277" w:lineRule="auto"/>
        <w:tabs>
          <w:tab w:leader="none" w:pos="8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10.24Master Lease and Sublease, dated as of May 26, 2005, by and among STC Two LLC, as lessor, SprintCom, Inc., as Sprint Collocator, Global Signal Acquisitions II LLC, as lessee, and Global Signal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6"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2"/>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28"/>
        </w:trPr>
        <w:tc>
          <w:tcPr>
            <w:tcW w:w="6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(p)</w:t>
            </w:r>
          </w:p>
        </w:tc>
        <w:tc>
          <w:tcPr>
            <w:tcW w:w="11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Master Lease and Sublease, dated as of May 26, 2005, by and among STC Three LLC, as lessor, American PCS Communications,</w:t>
            </w:r>
          </w:p>
        </w:tc>
      </w:tr>
      <w:tr>
        <w:trPr>
          <w:trHeight w:val="230"/>
        </w:trPr>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LLC, as Sprint Collocator, Global Signal Acquisitions II LLC, as lessee, and Global Signal Inc.</w:t>
            </w:r>
          </w:p>
        </w:tc>
      </w:tr>
    </w:tbl>
    <w:p>
      <w:pPr>
        <w:spacing w:after="0" w:line="40" w:lineRule="exact"/>
        <w:rPr>
          <w:sz w:val="20"/>
          <w:szCs w:val="20"/>
          <w:color w:val="auto"/>
        </w:rPr>
      </w:pPr>
    </w:p>
    <w:p>
      <w:pPr>
        <w:ind w:left="1980" w:right="40" w:hanging="1672"/>
        <w:spacing w:after="0" w:line="277" w:lineRule="auto"/>
        <w:tabs>
          <w:tab w:leader="none" w:pos="8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10.26Master Lease and Sublease, dated as of May 26, 2005, by and among STC Four LLC, as lessor, PhillieCo, L.P., as Sprint Collocator, Global Signal Acquisitions II LLC, as lessee, and Global Signal Inc.</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(p)</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10.27</w:t>
            </w:r>
          </w:p>
        </w:tc>
        <w:tc>
          <w:tcPr>
            <w:tcW w:w="9760" w:type="dxa"/>
            <w:vAlign w:val="bottom"/>
          </w:tcPr>
          <w:p>
            <w:pPr>
              <w:ind w:left="360"/>
              <w:spacing w:after="0"/>
              <w:rPr>
                <w:sz w:val="20"/>
                <w:szCs w:val="20"/>
                <w:color w:val="auto"/>
              </w:rPr>
            </w:pPr>
            <w:r>
              <w:rPr>
                <w:rFonts w:ascii="Arial" w:cs="Arial" w:eastAsia="Arial" w:hAnsi="Arial"/>
                <w:sz w:val="18"/>
                <w:szCs w:val="18"/>
                <w:color w:val="auto"/>
                <w:w w:val="92"/>
              </w:rPr>
              <w:t>Master Lease and Sublease, dated as of May 26, 2005, by and among STC Five LLC, as lessor, Sprint Spectrum L.P., as Sprint</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Collocator, Global Signal Acquisitions II LLC, as lessee, and Global Signal Inc.</w:t>
            </w:r>
          </w:p>
        </w:tc>
      </w:tr>
    </w:tbl>
    <w:p>
      <w:pPr>
        <w:spacing w:after="0" w:line="40" w:lineRule="exact"/>
        <w:rPr>
          <w:sz w:val="20"/>
          <w:szCs w:val="20"/>
          <w:color w:val="auto"/>
        </w:rPr>
      </w:pPr>
    </w:p>
    <w:p>
      <w:pPr>
        <w:ind w:left="1980" w:right="40" w:hanging="1672"/>
        <w:spacing w:after="0" w:line="277" w:lineRule="auto"/>
        <w:tabs>
          <w:tab w:leader="none" w:pos="8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10.28Master Lease and Sublease, dated as of May 26, 2005, by and among STC Six Company, Sprint Spectrum L.P., as Sprint Collocator, Global Signal Acquisitions II LLC, as lessee, and Global Signal Inc.</w:t>
      </w:r>
    </w:p>
    <w:p>
      <w:pPr>
        <w:spacing w:after="0" w:line="8" w:lineRule="exact"/>
        <w:rPr>
          <w:sz w:val="20"/>
          <w:szCs w:val="20"/>
          <w:color w:val="auto"/>
        </w:rPr>
      </w:pPr>
    </w:p>
    <w:p>
      <w:pPr>
        <w:ind w:left="1980" w:right="20" w:hanging="1657"/>
        <w:spacing w:after="0" w:line="264" w:lineRule="auto"/>
        <w:tabs>
          <w:tab w:leader="none" w:pos="8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10.29Management Agreement, dated as of July 31, 2009, by and among Crown Castle USA Inc., as Manager, and Pinnacle Towers Acquisition Holdings LLC, and the direct and indirect subsidiaries of Pinnacle Towers Acquisition Holdings LLC, collectively, as Owners</w:t>
      </w:r>
    </w:p>
    <w:p>
      <w:pPr>
        <w:spacing w:after="0" w:line="19" w:lineRule="exact"/>
        <w:rPr>
          <w:sz w:val="20"/>
          <w:szCs w:val="20"/>
          <w:color w:val="auto"/>
        </w:rPr>
      </w:pPr>
    </w:p>
    <w:p>
      <w:pPr>
        <w:ind w:left="1980" w:right="40" w:hanging="1657"/>
        <w:spacing w:after="0" w:line="286" w:lineRule="auto"/>
        <w:tabs>
          <w:tab w:leader="none" w:pos="8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10.30</w:t>
      </w:r>
      <w:r>
        <w:rPr>
          <w:rFonts w:ascii="Arial" w:cs="Arial" w:eastAsia="Arial" w:hAnsi="Arial"/>
          <w:sz w:val="17"/>
          <w:szCs w:val="17"/>
          <w:color w:val="auto"/>
        </w:rPr>
        <w:t>Cash Management Agreement, dated as of July 31, 2009, by and among Pinnacle Towers Acquisition Holdings LLC, Pinnacle Towers Acquisition LLC, GS Savings Inc., GoldenState Towers, LLC, Tower Ventures III, LLC and TVHT, LLC, as Issuers, The Bank of New York Mellon Trust Company, N.A., as Indenture Trustee, and Crown Castle USA Inc., as Manager</w:t>
      </w:r>
    </w:p>
    <w:p>
      <w:pPr>
        <w:spacing w:after="0" w:line="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(r)</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10.31</w:t>
            </w:r>
          </w:p>
        </w:tc>
        <w:tc>
          <w:tcPr>
            <w:tcW w:w="9780" w:type="dxa"/>
            <w:vAlign w:val="bottom"/>
          </w:tcPr>
          <w:p>
            <w:pPr>
              <w:ind w:left="360"/>
              <w:spacing w:after="0"/>
              <w:rPr>
                <w:sz w:val="20"/>
                <w:szCs w:val="20"/>
                <w:color w:val="auto"/>
              </w:rPr>
            </w:pPr>
            <w:r>
              <w:rPr>
                <w:rFonts w:ascii="Arial" w:cs="Arial" w:eastAsia="Arial" w:hAnsi="Arial"/>
                <w:sz w:val="18"/>
                <w:szCs w:val="18"/>
                <w:color w:val="auto"/>
                <w:w w:val="92"/>
              </w:rPr>
              <w:t>Servicing Agreement, dated as of July 31, 2009, by and among Midland Loan Services, Inc., as Servicer, and The Bank of New</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York Mellon Trust Company, N.A., as Indenture Trustee</w:t>
            </w:r>
          </w:p>
        </w:tc>
      </w:t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(v)</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10.32</w:t>
            </w:r>
          </w:p>
        </w:tc>
        <w:tc>
          <w:tcPr>
            <w:tcW w:w="9780" w:type="dxa"/>
            <w:vAlign w:val="bottom"/>
          </w:tcPr>
          <w:p>
            <w:pPr>
              <w:ind w:left="360"/>
              <w:spacing w:after="0"/>
              <w:rPr>
                <w:sz w:val="20"/>
                <w:szCs w:val="20"/>
                <w:color w:val="auto"/>
              </w:rPr>
            </w:pPr>
            <w:r>
              <w:rPr>
                <w:rFonts w:ascii="Arial" w:cs="Arial" w:eastAsia="Arial" w:hAnsi="Arial"/>
                <w:sz w:val="18"/>
                <w:szCs w:val="18"/>
                <w:color w:val="auto"/>
                <w:w w:val="92"/>
              </w:rPr>
              <w:t>Master Agreement dated as of September 28, 2012, among T-Mobile USA, Inc., SunCom Wireless Operating Company, L.L.C.,</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4"/>
              </w:rPr>
              <w:t>Cook Inlet/VS GSM IV PCS Holdings, LLC, T-Mobile Central LLC, T-Mobile South LLC, Powertel/Memphis, Inc., VoiceStream</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4"/>
              </w:rPr>
              <w:t>Pittsburgh, L.P., T-Mobile West LLC, T-Mobile Northeast LLC, Wireless Alliance, LLC, SunCom Wireless Property Company,</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L.L.C. and Crown Castle International Corp.</w:t>
            </w:r>
          </w:p>
        </w:tc>
      </w:t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(x)</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10.33</w:t>
            </w:r>
          </w:p>
        </w:tc>
        <w:tc>
          <w:tcPr>
            <w:tcW w:w="9780" w:type="dxa"/>
            <w:vAlign w:val="bottom"/>
          </w:tcPr>
          <w:p>
            <w:pPr>
              <w:ind w:left="360"/>
              <w:spacing w:after="0"/>
              <w:rPr>
                <w:sz w:val="20"/>
                <w:szCs w:val="20"/>
                <w:color w:val="auto"/>
              </w:rPr>
            </w:pPr>
            <w:r>
              <w:rPr>
                <w:rFonts w:ascii="Arial" w:cs="Arial" w:eastAsia="Arial" w:hAnsi="Arial"/>
                <w:sz w:val="18"/>
                <w:szCs w:val="18"/>
                <w:color w:val="auto"/>
                <w:w w:val="91"/>
              </w:rPr>
              <w:t>Management Agreement, dated as of December 24, 2012, by and among Crown Castle USA Inc., as Manager, and Global Signal</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4"/>
              </w:rPr>
              <w:t>Acquisitions LLC, Global Signal Acquisitions II LLC, Pinnacle Towers LLC and the direct and indirect subsidiaries of Pinnacle</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Towers LLC, collectively, as Owners</w:t>
            </w:r>
          </w:p>
        </w:tc>
      </w:t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(y)</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10.34</w:t>
            </w:r>
          </w:p>
        </w:tc>
        <w:tc>
          <w:tcPr>
            <w:tcW w:w="9780" w:type="dxa"/>
            <w:vAlign w:val="bottom"/>
          </w:tcPr>
          <w:p>
            <w:pPr>
              <w:ind w:left="360"/>
              <w:spacing w:after="0"/>
              <w:rPr>
                <w:sz w:val="20"/>
                <w:szCs w:val="20"/>
                <w:color w:val="auto"/>
              </w:rPr>
            </w:pPr>
            <w:r>
              <w:rPr>
                <w:rFonts w:ascii="Arial" w:cs="Arial" w:eastAsia="Arial" w:hAnsi="Arial"/>
                <w:sz w:val="18"/>
                <w:szCs w:val="18"/>
                <w:color w:val="auto"/>
                <w:w w:val="92"/>
              </w:rPr>
              <w:t>Master Prepaid Lease, dated as of November 30, 2012, by and among T-Mobile USA Tower LLC, T-Mobile West Tower LLC, T-</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Mobile USA, Inc. and CCTMO LLC</w:t>
            </w:r>
          </w:p>
        </w:tc>
      </w:t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(y)</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10.35</w:t>
            </w:r>
          </w:p>
        </w:tc>
        <w:tc>
          <w:tcPr>
            <w:tcW w:w="9780" w:type="dxa"/>
            <w:vAlign w:val="bottom"/>
          </w:tcPr>
          <w:p>
            <w:pPr>
              <w:ind w:left="360"/>
              <w:spacing w:after="0"/>
              <w:rPr>
                <w:sz w:val="20"/>
                <w:szCs w:val="20"/>
                <w:color w:val="auto"/>
              </w:rPr>
            </w:pPr>
            <w:r>
              <w:rPr>
                <w:rFonts w:ascii="Arial" w:cs="Arial" w:eastAsia="Arial" w:hAnsi="Arial"/>
                <w:sz w:val="18"/>
                <w:szCs w:val="18"/>
                <w:color w:val="auto"/>
                <w:w w:val="92"/>
              </w:rPr>
              <w:t>MPL Site Master Lease Agreement, dated as of November 30, 2012, by and among Cook Inlet/VS GSM IV PCS Holdings, LLC,</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6"/>
              </w:rPr>
              <w:t>T-Mobile Central LLC, T-Mobile South LLC, Powertel/Memphis, Inc., VoiceStream Pittsburgh, L.P., T-Mobile West LLC, T-</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Mobile Northeast LLC, Wireless Alliance, LLC, SunCom Wireless Operating Company, L.L.C., T-Mobile USA, Inc. and</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CCTMO LLC</w:t>
            </w:r>
          </w:p>
        </w:tc>
      </w:t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(y)</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10.36</w:t>
            </w:r>
          </w:p>
        </w:tc>
        <w:tc>
          <w:tcPr>
            <w:tcW w:w="9780" w:type="dxa"/>
            <w:vAlign w:val="bottom"/>
          </w:tcPr>
          <w:p>
            <w:pPr>
              <w:ind w:left="360"/>
              <w:spacing w:after="0"/>
              <w:rPr>
                <w:sz w:val="20"/>
                <w:szCs w:val="20"/>
                <w:color w:val="auto"/>
              </w:rPr>
            </w:pPr>
            <w:r>
              <w:rPr>
                <w:rFonts w:ascii="Arial" w:cs="Arial" w:eastAsia="Arial" w:hAnsi="Arial"/>
                <w:sz w:val="18"/>
                <w:szCs w:val="18"/>
                <w:color w:val="auto"/>
                <w:w w:val="92"/>
              </w:rPr>
              <w:t>Sale Site Master Lease Agreement, dated as of November 30, 2012, by and among Cook Inlet/VS GSM IV PCS Holdings, LLC,</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6"/>
              </w:rPr>
              <w:t>T-Mobile Central LLC, T-Mobile South LLC, Powertel/Memphis, Inc., VoiceStream Pittsburgh, L.P., T-Mobile West LLC, T-</w:t>
            </w:r>
          </w:p>
        </w:tc>
      </w:tr>
    </w:tbl>
    <w:p>
      <w:pPr>
        <w:ind w:left="1980" w:right="20"/>
        <w:spacing w:after="0" w:line="261" w:lineRule="auto"/>
        <w:rPr>
          <w:sz w:val="20"/>
          <w:szCs w:val="20"/>
          <w:color w:val="auto"/>
        </w:rPr>
      </w:pPr>
      <w:r>
        <w:rPr>
          <w:rFonts w:ascii="Arial" w:cs="Arial" w:eastAsia="Arial" w:hAnsi="Arial"/>
          <w:sz w:val="18"/>
          <w:szCs w:val="18"/>
          <w:color w:val="auto"/>
        </w:rPr>
        <w:t>Mobile Northeast LLC, Wireless Alliance, LLC, SunCom Wireless Operating Company, L.L.C., T-Mobile USA, Inc., T3 Tower 1 LLC and T3 Tower 2 LLC</w:t>
      </w:r>
    </w:p>
    <w:p>
      <w:pPr>
        <w:spacing w:after="0" w:line="22" w:lineRule="exact"/>
        <w:rPr>
          <w:sz w:val="20"/>
          <w:szCs w:val="20"/>
          <w:color w:val="auto"/>
        </w:rPr>
      </w:pPr>
    </w:p>
    <w:p>
      <w:pPr>
        <w:ind w:left="1980" w:right="20" w:hanging="1672"/>
        <w:spacing w:after="0" w:line="299" w:lineRule="auto"/>
        <w:tabs>
          <w:tab w:leader="none" w:pos="8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10.37</w:t>
      </w:r>
      <w:r>
        <w:rPr>
          <w:rFonts w:ascii="Arial" w:cs="Arial" w:eastAsia="Arial" w:hAnsi="Arial"/>
          <w:sz w:val="16"/>
          <w:szCs w:val="16"/>
          <w:color w:val="auto"/>
        </w:rPr>
        <w:t>Management Agreement, dated as of November 30, 2012, by and among SunCom Wireless Operating Company, L.L.C., Cook Inlet/VS GSM IV PCS Holdings, LLC, T-Mobile Central LLC, T-Mobile South LLC, Powertel/Memphis, Inc., VoiceStream Pittsburgh, L.P., T-Mobile West LLC, T-Mobile Northeast LLC, Wireless Alliance, LLC, SunCom Wireless Property Company, L.L.C., T-Mobile USA Tower LLC, T-Mobile West Tower LLC, CCTMO LLC, T3 Tower 1 LLC and T3 Tower 2 LLC</w:t>
      </w:r>
    </w:p>
    <w:p>
      <w:pPr>
        <w:spacing w:after="0" w:line="1" w:lineRule="exact"/>
        <w:rPr>
          <w:sz w:val="20"/>
          <w:szCs w:val="20"/>
          <w:color w:val="auto"/>
        </w:rPr>
      </w:pPr>
    </w:p>
    <w:p>
      <w:pPr>
        <w:ind w:left="1980" w:right="20" w:hanging="1717"/>
        <w:spacing w:after="0" w:line="255" w:lineRule="auto"/>
        <w:tabs>
          <w:tab w:leader="none" w:pos="8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10.38Commitment Letter, dated as of October 18, 2013, among Crown Castle International Corp., Morgan Stanley Senior Funding, Inc., Bank of America, N.A., Merrill Lynch, Pierce, Fenner &amp; Smith Incorporated, JPMorgan Chase Bank, N.A., J.P. Morgan Securities LLC, Barclays Bank PLC, SunTrust Bank, The Royal Bank of Scotland plc, Credit Agricole Corporate and Investment Bank, Royal Bank of Canada, Toronto Dominion (New York) LLC, TD Securities (USA) LLC, The Bank of Tokyo-Mitsubishi UFJ, Ltd., Deutsche Bank AG Cayman Islands Branch, PNC Bank, National Association, PNC Capital Markets, LLC and Sumitomo Mitsui Banking Corporation</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(bb)</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10.39</w:t>
            </w:r>
          </w:p>
        </w:tc>
        <w:tc>
          <w:tcPr>
            <w:tcW w:w="9760" w:type="dxa"/>
            <w:vAlign w:val="bottom"/>
          </w:tcPr>
          <w:p>
            <w:pPr>
              <w:ind w:left="360"/>
              <w:spacing w:after="0"/>
              <w:rPr>
                <w:sz w:val="20"/>
                <w:szCs w:val="20"/>
                <w:color w:val="auto"/>
              </w:rPr>
            </w:pPr>
            <w:r>
              <w:rPr>
                <w:rFonts w:ascii="Arial" w:cs="Arial" w:eastAsia="Arial" w:hAnsi="Arial"/>
                <w:sz w:val="18"/>
                <w:szCs w:val="18"/>
                <w:color w:val="auto"/>
              </w:rPr>
              <w:t>Master Agreement dated as of October 18, 2013, among AT&amp;T Inc. and Crown Castle International Corp.</w:t>
            </w:r>
          </w:p>
        </w:tc>
      </w:tr>
      <w:tr>
        <w:trPr>
          <w:trHeight w:val="256"/>
        </w:trPr>
        <w:tc>
          <w:tcPr>
            <w:tcW w:w="440" w:type="dxa"/>
            <w:vAlign w:val="bottom"/>
          </w:tcPr>
          <w:p>
            <w:pPr>
              <w:ind w:left="20"/>
              <w:spacing w:after="0"/>
              <w:rPr>
                <w:sz w:val="20"/>
                <w:szCs w:val="20"/>
                <w:color w:val="auto"/>
              </w:rPr>
            </w:pPr>
            <w:r>
              <w:rPr>
                <w:rFonts w:ascii="Arial" w:cs="Arial" w:eastAsia="Arial" w:hAnsi="Arial"/>
                <w:sz w:val="18"/>
                <w:szCs w:val="18"/>
                <w:color w:val="auto"/>
              </w:rPr>
              <w:t>(cc)</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10.40</w:t>
            </w:r>
          </w:p>
        </w:tc>
        <w:tc>
          <w:tcPr>
            <w:tcW w:w="9760" w:type="dxa"/>
            <w:vAlign w:val="bottom"/>
          </w:tcPr>
          <w:p>
            <w:pPr>
              <w:ind w:left="360"/>
              <w:spacing w:after="0"/>
              <w:rPr>
                <w:sz w:val="20"/>
                <w:szCs w:val="20"/>
                <w:color w:val="auto"/>
              </w:rPr>
            </w:pPr>
            <w:r>
              <w:rPr>
                <w:rFonts w:ascii="Arial" w:cs="Arial" w:eastAsia="Arial" w:hAnsi="Arial"/>
                <w:sz w:val="18"/>
                <w:szCs w:val="18"/>
                <w:color w:val="auto"/>
                <w:w w:val="92"/>
              </w:rPr>
              <w:t>Master Prepaid Lease, dated as of December 16, 2013, by and among CCATT LLC, AT&amp;T Mobility LLC and the AT&amp;T Lessors</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party thereto</w:t>
            </w:r>
          </w:p>
        </w:tc>
      </w:tr>
      <w:tr>
        <w:trPr>
          <w:trHeight w:val="256"/>
        </w:trPr>
        <w:tc>
          <w:tcPr>
            <w:tcW w:w="440" w:type="dxa"/>
            <w:vAlign w:val="bottom"/>
          </w:tcPr>
          <w:p>
            <w:pPr>
              <w:ind w:left="20"/>
              <w:spacing w:after="0"/>
              <w:rPr>
                <w:sz w:val="20"/>
                <w:szCs w:val="20"/>
                <w:color w:val="auto"/>
              </w:rPr>
            </w:pPr>
            <w:r>
              <w:rPr>
                <w:rFonts w:ascii="Arial" w:cs="Arial" w:eastAsia="Arial" w:hAnsi="Arial"/>
                <w:sz w:val="18"/>
                <w:szCs w:val="18"/>
                <w:color w:val="auto"/>
              </w:rPr>
              <w:t>(cc)</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10.41</w:t>
            </w:r>
          </w:p>
        </w:tc>
        <w:tc>
          <w:tcPr>
            <w:tcW w:w="9760" w:type="dxa"/>
            <w:vAlign w:val="bottom"/>
          </w:tcPr>
          <w:p>
            <w:pPr>
              <w:ind w:left="360"/>
              <w:spacing w:after="0"/>
              <w:rPr>
                <w:sz w:val="20"/>
                <w:szCs w:val="20"/>
                <w:color w:val="auto"/>
              </w:rPr>
            </w:pPr>
            <w:r>
              <w:rPr>
                <w:rFonts w:ascii="Arial" w:cs="Arial" w:eastAsia="Arial" w:hAnsi="Arial"/>
                <w:sz w:val="18"/>
                <w:szCs w:val="18"/>
                <w:color w:val="auto"/>
                <w:w w:val="94"/>
              </w:rPr>
              <w:t>MPL Site Master Lease Agreement, dated as of December 16, 2013, by and among CCATT LLC, AT&amp;T Mobility LLC and the</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AT&amp;T Collocators party thereto</w:t>
            </w:r>
          </w:p>
        </w:tc>
      </w:tr>
      <w:tr>
        <w:trPr>
          <w:trHeight w:val="256"/>
        </w:trPr>
        <w:tc>
          <w:tcPr>
            <w:tcW w:w="440" w:type="dxa"/>
            <w:vAlign w:val="bottom"/>
          </w:tcPr>
          <w:p>
            <w:pPr>
              <w:ind w:left="20"/>
              <w:spacing w:after="0"/>
              <w:rPr>
                <w:sz w:val="20"/>
                <w:szCs w:val="20"/>
                <w:color w:val="auto"/>
              </w:rPr>
            </w:pPr>
            <w:r>
              <w:rPr>
                <w:rFonts w:ascii="Arial" w:cs="Arial" w:eastAsia="Arial" w:hAnsi="Arial"/>
                <w:sz w:val="18"/>
                <w:szCs w:val="18"/>
                <w:color w:val="auto"/>
              </w:rPr>
              <w:t>(cc)</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10.42</w:t>
            </w:r>
          </w:p>
        </w:tc>
        <w:tc>
          <w:tcPr>
            <w:tcW w:w="9760" w:type="dxa"/>
            <w:vAlign w:val="bottom"/>
          </w:tcPr>
          <w:p>
            <w:pPr>
              <w:ind w:left="360"/>
              <w:spacing w:after="0"/>
              <w:rPr>
                <w:sz w:val="20"/>
                <w:szCs w:val="20"/>
                <w:color w:val="auto"/>
              </w:rPr>
            </w:pPr>
            <w:r>
              <w:rPr>
                <w:rFonts w:ascii="Arial" w:cs="Arial" w:eastAsia="Arial" w:hAnsi="Arial"/>
                <w:sz w:val="18"/>
                <w:szCs w:val="18"/>
                <w:color w:val="auto"/>
                <w:w w:val="93"/>
              </w:rPr>
              <w:t>Sale Site Master Lease Agreement, dated as of December 16, 2013, by and among AT&amp;T Mobility LLC, the AT&amp;T Collocators</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party thereto and the Tower Operators party thereto</w:t>
            </w:r>
          </w:p>
        </w:tc>
      </w:tr>
      <w:tr>
        <w:trPr>
          <w:trHeight w:val="256"/>
        </w:trPr>
        <w:tc>
          <w:tcPr>
            <w:tcW w:w="440" w:type="dxa"/>
            <w:vAlign w:val="bottom"/>
          </w:tcPr>
          <w:p>
            <w:pPr>
              <w:ind w:left="20"/>
              <w:spacing w:after="0"/>
              <w:rPr>
                <w:sz w:val="20"/>
                <w:szCs w:val="20"/>
                <w:color w:val="auto"/>
              </w:rPr>
            </w:pPr>
            <w:r>
              <w:rPr>
                <w:rFonts w:ascii="Arial" w:cs="Arial" w:eastAsia="Arial" w:hAnsi="Arial"/>
                <w:sz w:val="18"/>
                <w:szCs w:val="18"/>
                <w:color w:val="auto"/>
              </w:rPr>
              <w:t>(cc)</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10.43</w:t>
            </w:r>
          </w:p>
        </w:tc>
        <w:tc>
          <w:tcPr>
            <w:tcW w:w="9760" w:type="dxa"/>
            <w:vAlign w:val="bottom"/>
          </w:tcPr>
          <w:p>
            <w:pPr>
              <w:ind w:left="360"/>
              <w:spacing w:after="0"/>
              <w:rPr>
                <w:sz w:val="20"/>
                <w:szCs w:val="20"/>
                <w:color w:val="auto"/>
              </w:rPr>
            </w:pPr>
            <w:r>
              <w:rPr>
                <w:rFonts w:ascii="Arial" w:cs="Arial" w:eastAsia="Arial" w:hAnsi="Arial"/>
                <w:sz w:val="18"/>
                <w:szCs w:val="18"/>
                <w:color w:val="auto"/>
                <w:w w:val="89"/>
              </w:rPr>
              <w:t>Management Agreement, dated as of December 16, 2013, by and among CCATT LLC, the Sale Site Subsidiaries party thereto, the</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AT&amp;T Newcos party thereto and the AT&amp;T Contributors party thereto</w:t>
            </w:r>
          </w:p>
        </w:tc>
      </w:tr>
      <w:tr>
        <w:trPr>
          <w:trHeight w:val="486"/>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60" w:type="dxa"/>
            <w:vAlign w:val="bottom"/>
          </w:tcPr>
          <w:p>
            <w:pPr>
              <w:ind w:left="400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346" w:right="239" w:bottom="1440" w:gutter="0" w:footer="0" w:header="0"/>
        </w:sectPr>
      </w:pPr>
    </w:p>
    <w:bookmarkStart w:id="91" w:name="page92"/>
    <w:bookmarkEnd w:id="91"/>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43"/>
        </w:trPr>
        <w:tc>
          <w:tcPr>
            <w:tcW w:w="6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(jj)</w:t>
            </w:r>
          </w:p>
        </w:tc>
        <w:tc>
          <w:tcPr>
            <w:tcW w:w="11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Stock Purchase Agreement, dated as of April 29, 2015, by and among Quanta Services, Inc., Crown Castle International Corp. and</w:t>
            </w:r>
          </w:p>
        </w:tc>
      </w:tr>
    </w:tbl>
    <w:p>
      <w:pPr>
        <w:ind w:left="1980"/>
        <w:spacing w:after="0"/>
        <w:rPr>
          <w:sz w:val="20"/>
          <w:szCs w:val="20"/>
          <w:color w:val="auto"/>
        </w:rPr>
      </w:pPr>
      <w:r>
        <w:rPr>
          <w:rFonts w:ascii="Arial" w:cs="Arial" w:eastAsia="Arial" w:hAnsi="Arial"/>
          <w:sz w:val="18"/>
          <w:szCs w:val="18"/>
          <w:color w:val="auto"/>
        </w:rPr>
        <w:t>CC SCN Fiber LLC</w:t>
      </w:r>
    </w:p>
    <w:p>
      <w:pPr>
        <w:spacing w:after="0" w:line="48" w:lineRule="exact"/>
        <w:rPr>
          <w:sz w:val="20"/>
          <w:szCs w:val="20"/>
          <w:color w:val="auto"/>
        </w:rPr>
      </w:pPr>
    </w:p>
    <w:p>
      <w:pPr>
        <w:ind w:left="1980" w:right="20" w:hanging="1677"/>
        <w:spacing w:after="0" w:line="259" w:lineRule="auto"/>
        <w:tabs>
          <w:tab w:leader="none" w:pos="8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10.45Agreement for the Sale and Purchase of the Shares of Crown Castle Australia Holdings Pty Ltd, dated May 14, 2015, by and among Crown Castle International Corp., Crown Castle Operating LLC, The Trust Company (Nominees) Limited, Todd International Investments Limited, Oceania Capital Limited, Birdsong Capital Limited, Baytown Investments Limited, Heritage PTC LLC, David Lloyd CCA Limited, Turri Finance Pty Ltd and Turri Bidco Pty Ltd</w:t>
      </w:r>
    </w:p>
    <w:p>
      <w:pPr>
        <w:spacing w:after="0" w:line="25" w:lineRule="exact"/>
        <w:rPr>
          <w:sz w:val="20"/>
          <w:szCs w:val="20"/>
          <w:color w:val="auto"/>
        </w:rPr>
      </w:pPr>
    </w:p>
    <w:p>
      <w:pPr>
        <w:ind w:left="1980" w:right="40" w:hanging="1717"/>
        <w:spacing w:after="0" w:line="277" w:lineRule="auto"/>
        <w:tabs>
          <w:tab w:leader="none" w:pos="8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10.46Credit Agreement dated as of January 21, 2016, among Crown Castle International Corp., the lenders and issuing banks party thereto and JPMorgan Chase Bank, N.A., as administrative agent</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10.47</w:t>
            </w:r>
          </w:p>
        </w:tc>
        <w:tc>
          <w:tcPr>
            <w:tcW w:w="9360" w:type="dxa"/>
            <w:vAlign w:val="bottom"/>
          </w:tcPr>
          <w:p>
            <w:pPr>
              <w:ind w:left="220"/>
              <w:spacing w:after="0"/>
              <w:rPr>
                <w:sz w:val="20"/>
                <w:szCs w:val="20"/>
                <w:color w:val="auto"/>
              </w:rPr>
            </w:pPr>
            <w:r>
              <w:rPr>
                <w:rFonts w:ascii="Arial" w:cs="Arial" w:eastAsia="Arial" w:hAnsi="Arial"/>
                <w:sz w:val="18"/>
                <w:szCs w:val="18"/>
                <w:color w:val="auto"/>
                <w:w w:val="90"/>
              </w:rPr>
              <w:t>Form of Severance Agreement between Crown Castle International Corp. and Kenneth J. Simon, effective September 14, 2015</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12</w:t>
            </w:r>
          </w:p>
        </w:tc>
        <w:tc>
          <w:tcPr>
            <w:tcW w:w="9360" w:type="dxa"/>
            <w:vAlign w:val="bottom"/>
          </w:tcPr>
          <w:p>
            <w:pPr>
              <w:ind w:left="220"/>
              <w:spacing w:after="0"/>
              <w:rPr>
                <w:sz w:val="20"/>
                <w:szCs w:val="20"/>
                <w:color w:val="auto"/>
              </w:rPr>
            </w:pPr>
            <w:r>
              <w:rPr>
                <w:rFonts w:ascii="Arial" w:cs="Arial" w:eastAsia="Arial" w:hAnsi="Arial"/>
                <w:sz w:val="18"/>
                <w:szCs w:val="18"/>
                <w:color w:val="auto"/>
                <w:w w:val="90"/>
              </w:rPr>
              <w:t>Computation of Ratios of Earnings to Fixed Charges and Earnings to Combined Fixed Charges and Preferred Stock Dividends</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21</w:t>
            </w:r>
          </w:p>
        </w:tc>
        <w:tc>
          <w:tcPr>
            <w:tcW w:w="9360" w:type="dxa"/>
            <w:vAlign w:val="bottom"/>
          </w:tcPr>
          <w:p>
            <w:pPr>
              <w:ind w:left="220"/>
              <w:spacing w:after="0"/>
              <w:rPr>
                <w:sz w:val="20"/>
                <w:szCs w:val="20"/>
                <w:color w:val="auto"/>
              </w:rPr>
            </w:pPr>
            <w:r>
              <w:rPr>
                <w:rFonts w:ascii="Arial" w:cs="Arial" w:eastAsia="Arial" w:hAnsi="Arial"/>
                <w:sz w:val="18"/>
                <w:szCs w:val="18"/>
                <w:color w:val="auto"/>
              </w:rPr>
              <w:t>Schedule of Subsidiaries of Crown Castle International Corp.</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23.1</w:t>
            </w:r>
          </w:p>
        </w:tc>
        <w:tc>
          <w:tcPr>
            <w:tcW w:w="9360" w:type="dxa"/>
            <w:vAlign w:val="bottom"/>
          </w:tcPr>
          <w:p>
            <w:pPr>
              <w:ind w:left="220"/>
              <w:spacing w:after="0"/>
              <w:rPr>
                <w:sz w:val="20"/>
                <w:szCs w:val="20"/>
                <w:color w:val="auto"/>
              </w:rPr>
            </w:pPr>
            <w:r>
              <w:rPr>
                <w:rFonts w:ascii="Arial" w:cs="Arial" w:eastAsia="Arial" w:hAnsi="Arial"/>
                <w:sz w:val="18"/>
                <w:szCs w:val="18"/>
                <w:color w:val="auto"/>
              </w:rPr>
              <w:t>Consent of PricewaterhouseCoopers LLP</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24</w:t>
            </w:r>
          </w:p>
        </w:tc>
        <w:tc>
          <w:tcPr>
            <w:tcW w:w="9360" w:type="dxa"/>
            <w:vAlign w:val="bottom"/>
          </w:tcPr>
          <w:p>
            <w:pPr>
              <w:ind w:left="220"/>
              <w:spacing w:after="0"/>
              <w:rPr>
                <w:sz w:val="20"/>
                <w:szCs w:val="20"/>
                <w:color w:val="auto"/>
              </w:rPr>
            </w:pPr>
            <w:r>
              <w:rPr>
                <w:rFonts w:ascii="Arial" w:cs="Arial" w:eastAsia="Arial" w:hAnsi="Arial"/>
                <w:sz w:val="18"/>
                <w:szCs w:val="18"/>
                <w:color w:val="auto"/>
              </w:rPr>
              <w:t>Power of Attorney (included on signature page of this annual report)</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31.1</w:t>
            </w:r>
          </w:p>
        </w:tc>
        <w:tc>
          <w:tcPr>
            <w:tcW w:w="93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Sarbanes-Oxley Act of 2002</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31.2</w:t>
            </w:r>
          </w:p>
        </w:tc>
        <w:tc>
          <w:tcPr>
            <w:tcW w:w="936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Sarbanes-Oxley Act of 2002</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32.1</w:t>
            </w:r>
          </w:p>
        </w:tc>
        <w:tc>
          <w:tcPr>
            <w:tcW w:w="9360" w:type="dxa"/>
            <w:vAlign w:val="bottom"/>
          </w:tcPr>
          <w:p>
            <w:pPr>
              <w:ind w:left="220"/>
              <w:spacing w:after="0"/>
              <w:rPr>
                <w:sz w:val="20"/>
                <w:szCs w:val="20"/>
                <w:color w:val="auto"/>
              </w:rPr>
            </w:pPr>
            <w:r>
              <w:rPr>
                <w:rFonts w:ascii="Arial" w:cs="Arial" w:eastAsia="Arial" w:hAnsi="Arial"/>
                <w:sz w:val="18"/>
                <w:szCs w:val="18"/>
                <w:color w:val="auto"/>
                <w:w w:val="94"/>
              </w:rPr>
              <w:t>Certification of Chief Executive Officer and Chief Financial Officer pursuant to Section 906 of Sarbanes-Oxley Act of 2002</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101.INS</w:t>
            </w:r>
          </w:p>
        </w:tc>
        <w:tc>
          <w:tcPr>
            <w:tcW w:w="936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101.SCH</w:t>
            </w:r>
          </w:p>
        </w:tc>
        <w:tc>
          <w:tcPr>
            <w:tcW w:w="93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101.DEF</w:t>
            </w:r>
          </w:p>
        </w:tc>
        <w:tc>
          <w:tcPr>
            <w:tcW w:w="93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101.CAL</w:t>
            </w:r>
          </w:p>
        </w:tc>
        <w:tc>
          <w:tcPr>
            <w:tcW w:w="93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101.LAB</w:t>
            </w:r>
          </w:p>
        </w:tc>
        <w:tc>
          <w:tcPr>
            <w:tcW w:w="93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101.PRE</w:t>
            </w:r>
          </w:p>
        </w:tc>
        <w:tc>
          <w:tcPr>
            <w:tcW w:w="93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Filed herewith.</w:t>
      </w:r>
    </w:p>
    <w:p>
      <w:pPr>
        <w:spacing w:after="0" w:line="211" w:lineRule="exact"/>
        <w:rPr>
          <w:sz w:val="20"/>
          <w:szCs w:val="20"/>
          <w:color w:val="auto"/>
        </w:rPr>
      </w:pPr>
    </w:p>
    <w:p>
      <w:pPr>
        <w:ind w:left="980" w:right="60" w:hanging="972"/>
        <w:spacing w:after="0" w:line="258" w:lineRule="auto"/>
        <w:tabs>
          <w:tab w:leader="none" w:pos="49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predecessor of Crown Castle International Corp. ("Predecessor Registrant") on Form 8-K (File No. 000-24737) on December 10, 1998.</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000-24737) on April 12, 1999.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000-24737) on June 9, 1999.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000-24737) on November 12, 1999.</w:t>
      </w:r>
    </w:p>
    <w:p>
      <w:pPr>
        <w:spacing w:after="0" w:line="20" w:lineRule="exact"/>
        <w:rPr>
          <w:rFonts w:ascii="Arial" w:cs="Arial" w:eastAsia="Arial" w:hAnsi="Arial"/>
          <w:sz w:val="17"/>
          <w:szCs w:val="17"/>
          <w:color w:val="auto"/>
        </w:rPr>
      </w:pPr>
    </w:p>
    <w:p>
      <w:pPr>
        <w:ind w:left="980" w:right="700" w:hanging="972"/>
        <w:spacing w:after="0" w:line="250" w:lineRule="auto"/>
        <w:tabs>
          <w:tab w:leader="none" w:pos="49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Predecessor Registrant on Form 10-K (File No. 000-24737) for the year ended December 31, 1999.</w:t>
      </w: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January 8, 2003.</w:t>
      </w:r>
    </w:p>
    <w:p>
      <w:pPr>
        <w:spacing w:after="0" w:line="20" w:lineRule="exact"/>
        <w:rPr>
          <w:rFonts w:ascii="Arial" w:cs="Arial" w:eastAsia="Arial" w:hAnsi="Arial"/>
          <w:sz w:val="17"/>
          <w:szCs w:val="17"/>
          <w:color w:val="auto"/>
        </w:rPr>
      </w:pPr>
    </w:p>
    <w:p>
      <w:pPr>
        <w:ind w:left="980" w:right="700" w:hanging="972"/>
        <w:spacing w:after="0" w:line="250" w:lineRule="auto"/>
        <w:tabs>
          <w:tab w:leader="none" w:pos="49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Predecessor Registrant on Form 10-K (File No. 001-16441) for the year ended December 31, 2003.</w:t>
      </w: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March 2, 2005.</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June 9, 2005.</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Incorporated by reference to the exhibit previously filed by the Predecessor Registrant on Form 8-K (File No. 001-16441) on September 29, 2006.</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December 5, 2006.</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May 30, 2007.</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December 7, 2007.</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July 15, 2008.</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Global Signal Inc. on Form 8-K (File No. 001-32168) on February 17, 2005.</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Global Signal Inc. on Form 8-K (File No. 001-32168) on May 27, 2005.</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April 8, 2009.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August 4, 2009.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January 20, 2010.</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August 26, 2010.</w:t>
      </w:r>
    </w:p>
    <w:p>
      <w:pPr>
        <w:spacing w:after="0" w:line="20" w:lineRule="exact"/>
        <w:rPr>
          <w:rFonts w:ascii="Arial" w:cs="Arial" w:eastAsia="Arial" w:hAnsi="Arial"/>
          <w:sz w:val="17"/>
          <w:szCs w:val="17"/>
          <w:color w:val="auto"/>
        </w:rPr>
      </w:pPr>
    </w:p>
    <w:p>
      <w:pPr>
        <w:ind w:left="500" w:right="700" w:hanging="492"/>
        <w:spacing w:after="0" w:line="250"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Predecessor Registrant on Form 10-K (File No. 001-16441) for the year ended December 31, 2011.</w:t>
      </w:r>
    </w:p>
    <w:p>
      <w:pPr>
        <w:ind w:left="500" w:hanging="492"/>
        <w:spacing w:after="0"/>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October 2,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October 16,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December 28, 2012.</w:t>
      </w:r>
    </w:p>
    <w:p>
      <w:pPr>
        <w:spacing w:after="0" w:line="20" w:lineRule="exact"/>
        <w:rPr>
          <w:rFonts w:ascii="Arial" w:cs="Arial" w:eastAsia="Arial" w:hAnsi="Arial"/>
          <w:sz w:val="17"/>
          <w:szCs w:val="17"/>
          <w:color w:val="auto"/>
        </w:rPr>
      </w:pPr>
    </w:p>
    <w:p>
      <w:pPr>
        <w:ind w:left="500" w:right="700" w:hanging="492"/>
        <w:spacing w:after="0" w:line="250"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Predecessor Registrant on Form 10-K (File No. 000-24737) for the year ended December 31, 2012.</w:t>
      </w:r>
    </w:p>
    <w:p>
      <w:pPr>
        <w:ind w:left="500" w:hanging="492"/>
        <w:spacing w:after="0"/>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Incorporated by reference to the exhibit previously filed by the Predecessor Registrant as Appendix A to the Definitive Schedule 14A Proxy Statement</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 No. 001-16441) on April 8, 2013.</w:t>
      </w:r>
    </w:p>
    <w:p>
      <w:pPr>
        <w:spacing w:after="0" w:line="9" w:lineRule="exact"/>
        <w:rPr>
          <w:sz w:val="20"/>
          <w:szCs w:val="20"/>
          <w:color w:val="auto"/>
        </w:rPr>
      </w:pPr>
    </w:p>
    <w:p>
      <w:pPr>
        <w:ind w:left="500" w:hanging="492"/>
        <w:spacing w:after="0"/>
        <w:tabs>
          <w:tab w:leader="none" w:pos="5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May 28, 2013.</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October 21, 2013.</w:t>
      </w:r>
    </w:p>
    <w:p>
      <w:pPr>
        <w:spacing w:after="0" w:line="20" w:lineRule="exact"/>
        <w:rPr>
          <w:rFonts w:ascii="Arial" w:cs="Arial" w:eastAsia="Arial" w:hAnsi="Arial"/>
          <w:sz w:val="17"/>
          <w:szCs w:val="17"/>
          <w:color w:val="auto"/>
        </w:rPr>
      </w:pPr>
    </w:p>
    <w:p>
      <w:pPr>
        <w:ind w:left="500" w:right="700" w:hanging="492"/>
        <w:spacing w:after="0" w:line="250"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Predecessor Registrant on Form 10-K (File No. 001-16441) for the year ended December 31, 2013.</w:t>
      </w:r>
    </w:p>
    <w:p>
      <w:pPr>
        <w:ind w:left="500" w:hanging="492"/>
        <w:spacing w:after="0"/>
        <w:tabs>
          <w:tab w:leader="none" w:pos="5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February 26,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Incorporated by reference to the exhibit previously filed by the Predecessor Registrant on Form 8-K (File No. 001-16441) on April 15,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Predecessor Registrant on Form 8-K (File No. 001-16441) on July 1, 2014.</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Incorporated by reference to the exhibit previously filed by the Predecessor Registrant on Form 8-K (File No. 001-16441) on September 23, 2014.</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Registrant on Form 8-K (File No. 001-16441) on December 16, 2014.</w:t>
      </w:r>
    </w:p>
    <w:p>
      <w:pPr>
        <w:sectPr>
          <w:pgSz w:w="11900" w:h="16848" w:orient="portrait"/>
          <w:cols w:equalWidth="0" w:num="1">
            <w:col w:w="11420"/>
          </w:cols>
          <w:pgMar w:left="240" w:top="346" w:right="239" w:bottom="0" w:gutter="0" w:footer="0" w:header="0"/>
        </w:sectPr>
      </w:pPr>
    </w:p>
    <w:bookmarkStart w:id="92" w:name="page93"/>
    <w:bookmarkEnd w:id="92"/>
    <w:p>
      <w:pPr>
        <w:ind w:left="492" w:hanging="492"/>
        <w:spacing w:after="0"/>
        <w:tabs>
          <w:tab w:leader="none" w:pos="4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Registrant on Form 8-K (File No. 001-16441) on February 19, 2015.</w:t>
      </w:r>
    </w:p>
    <w:p>
      <w:pPr>
        <w:spacing w:after="0" w:line="23" w:lineRule="exact"/>
        <w:rPr>
          <w:rFonts w:ascii="Arial" w:cs="Arial" w:eastAsia="Arial" w:hAnsi="Arial"/>
          <w:sz w:val="18"/>
          <w:szCs w:val="18"/>
          <w:color w:val="auto"/>
        </w:rPr>
      </w:pPr>
    </w:p>
    <w:p>
      <w:pPr>
        <w:ind w:left="492" w:hanging="492"/>
        <w:spacing w:after="0"/>
        <w:tabs>
          <w:tab w:leader="none" w:pos="49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Incorporated by reference to the exhibit previously filed by the Registrant on Form 10-Q (File No. 001-16441) for the quarter ended March 31, 2015.</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Registrant on Form 8-K (File No. 001-16441) on May 21, 2015.</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Incorporated by reference to the exhibit previously filed by the Registrant on Form 10-Q (File No. 001-16441) for the quarter ended June 30, 2015.</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Registrant on Form 8-K (File No. 001-16441) on August 4, 2015.</w:t>
      </w:r>
    </w:p>
    <w:p>
      <w:pPr>
        <w:spacing w:after="0" w:line="9" w:lineRule="exact"/>
        <w:rPr>
          <w:rFonts w:ascii="Arial" w:cs="Arial" w:eastAsia="Arial" w:hAnsi="Arial"/>
          <w:sz w:val="18"/>
          <w:szCs w:val="18"/>
          <w:color w:val="auto"/>
        </w:rPr>
      </w:pPr>
    </w:p>
    <w:p>
      <w:pPr>
        <w:ind w:left="492" w:right="140" w:hanging="492"/>
        <w:spacing w:after="0" w:line="250" w:lineRule="auto"/>
        <w:tabs>
          <w:tab w:leader="none" w:pos="4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Registrant on Form 10-Q (File No. 001-16441) for the quarter ended September 30, 2015.</w:t>
      </w:r>
    </w:p>
    <w:p>
      <w:pPr>
        <w:ind w:left="492" w:hanging="492"/>
        <w:spacing w:after="0"/>
        <w:tabs>
          <w:tab w:leader="none" w:pos="4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Registrant on Form 8-K (File No. 001-16441) on January 22, 2016.</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Incorporated by reference to the exhibit previously filed by the Registrant on Form 8-K (File No. 001-16441) on February 8, 2016.</w:t>
      </w:r>
    </w:p>
    <w:p>
      <w:pPr>
        <w:sectPr>
          <w:pgSz w:w="11900" w:h="16838" w:orient="portrait"/>
          <w:cols w:equalWidth="0" w:num="1">
            <w:col w:w="11232"/>
          </w:cols>
          <w:pgMar w:left="248" w:top="125" w:right="41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9019"/>
          </w:cols>
          <w:pgMar w:left="1440" w:top="125"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this 22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of February, 2016.</w:t>
      </w:r>
    </w:p>
    <w:p>
      <w:pPr>
        <w:spacing w:after="0" w:line="200" w:lineRule="exact"/>
        <w:rPr>
          <w:sz w:val="20"/>
          <w:szCs w:val="20"/>
          <w:color w:val="auto"/>
        </w:rPr>
      </w:pPr>
    </w:p>
    <w:p>
      <w:pPr>
        <w:spacing w:after="0" w:line="32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ROWN</w:t>
      </w:r>
      <w:r>
        <w:rPr>
          <w:rFonts w:ascii="Arial" w:cs="Arial" w:eastAsia="Arial" w:hAnsi="Arial"/>
          <w:sz w:val="18"/>
          <w:szCs w:val="18"/>
          <w:color w:val="auto"/>
        </w:rPr>
        <w:t xml:space="preserve"> C</w:t>
      </w:r>
      <w:r>
        <w:rPr>
          <w:rFonts w:ascii="Arial" w:cs="Arial" w:eastAsia="Arial" w:hAnsi="Arial"/>
          <w:sz w:val="14"/>
          <w:szCs w:val="14"/>
          <w:color w:val="auto"/>
        </w:rPr>
        <w:t>ASTLE</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387" w:lineRule="exact"/>
        <w:rPr>
          <w:sz w:val="20"/>
          <w:szCs w:val="20"/>
          <w:color w:val="auto"/>
        </w:rPr>
      </w:pPr>
    </w:p>
    <w:p>
      <w:pPr>
        <w:ind w:left="5220"/>
        <w:spacing w:after="0"/>
        <w:tabs>
          <w:tab w:leader="none" w:pos="7960" w:val="left"/>
          <w:tab w:leader="none" w:pos="8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AY</w:t>
      </w:r>
      <w:r>
        <w:rPr>
          <w:rFonts w:ascii="Arial" w:cs="Arial" w:eastAsia="Arial" w:hAnsi="Arial"/>
          <w:sz w:val="17"/>
          <w:szCs w:val="17"/>
          <w:color w:val="auto"/>
        </w:rPr>
        <w:t xml:space="preserve"> A. B</w:t>
      </w:r>
      <w:r>
        <w:rPr>
          <w:rFonts w:ascii="Arial" w:cs="Arial" w:eastAsia="Arial" w:hAnsi="Arial"/>
          <w:sz w:val="13"/>
          <w:szCs w:val="13"/>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37560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Jay A. Brown</w:t>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Senior Vice President, Chief Financial Officer</w:t>
      </w:r>
    </w:p>
    <w:p>
      <w:pPr>
        <w:spacing w:after="0" w:line="19"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and Treasurer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W. Benjamin Moreland and Kenneth J. Simon and each of them, as his or her true and lawful attorneys-in-fact and agents with full power of substitution and re-substitution for him or her and in his or her name, place and stead, in any and all capacities, to sign any and all documents relating to the Annual Report on Form 10-K, including any and all amendments and supplements thereto, for the year ended December 31, 2015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or she might or could do in person, hereby ratifying and confirming all that said attorneys-in-fact and agents or their substitute or substitutes may lawfully do or cause to be done by virtue hereof.</w:t>
      </w:r>
    </w:p>
    <w:p>
      <w:pPr>
        <w:spacing w:after="0" w:line="138" w:lineRule="exact"/>
        <w:rPr>
          <w:sz w:val="20"/>
          <w:szCs w:val="20"/>
          <w:color w:val="auto"/>
        </w:rPr>
      </w:pPr>
    </w:p>
    <w:p>
      <w:pPr>
        <w:jc w:val="both"/>
        <w:ind w:right="20" w:firstLine="405"/>
        <w:spacing w:after="0" w:line="30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this Annual Report on Form 10-K has been signed below by the following persons on behalf of the Registrant and in the capacities indicated below on this 22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day of February, 2016.</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b w:val="1"/>
                <w:bCs w:val="1"/>
                <w:color w:val="auto"/>
                <w:w w:val="91"/>
              </w:rPr>
              <w:t>Name</w:t>
            </w:r>
          </w:p>
        </w:tc>
        <w:tc>
          <w:tcPr>
            <w:tcW w:w="20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0"/>
        </w:trPr>
        <w:tc>
          <w:tcPr>
            <w:tcW w:w="204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60" w:type="dxa"/>
            <w:vAlign w:val="bottom"/>
            <w:gridSpan w:val="5"/>
          </w:tcPr>
          <w:p>
            <w:pPr>
              <w:jc w:val="center"/>
              <w:spacing w:after="0"/>
              <w:rPr>
                <w:sz w:val="20"/>
                <w:szCs w:val="20"/>
                <w:color w:val="auto"/>
              </w:rPr>
            </w:pPr>
            <w:r>
              <w:rPr>
                <w:rFonts w:ascii="Arial" w:cs="Arial" w:eastAsia="Arial" w:hAnsi="Arial"/>
                <w:sz w:val="18"/>
                <w:szCs w:val="18"/>
                <w:color w:val="auto"/>
              </w:rPr>
              <w:t>/s/  W. B</w:t>
            </w:r>
            <w:r>
              <w:rPr>
                <w:rFonts w:ascii="Arial" w:cs="Arial" w:eastAsia="Arial" w:hAnsi="Arial"/>
                <w:sz w:val="14"/>
                <w:szCs w:val="14"/>
                <w:color w:val="auto"/>
              </w:rPr>
              <w:t>ENJAMIN</w:t>
            </w:r>
            <w:r>
              <w:rPr>
                <w:rFonts w:ascii="Arial" w:cs="Arial" w:eastAsia="Arial" w:hAnsi="Arial"/>
                <w:sz w:val="18"/>
                <w:szCs w:val="18"/>
                <w:color w:val="auto"/>
              </w:rPr>
              <w:t xml:space="preserve"> M</w:t>
            </w:r>
            <w:r>
              <w:rPr>
                <w:rFonts w:ascii="Arial" w:cs="Arial" w:eastAsia="Arial" w:hAnsi="Arial"/>
                <w:sz w:val="14"/>
                <w:szCs w:val="14"/>
                <w:color w:val="auto"/>
              </w:rPr>
              <w:t>ORELAND</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w w:val="97"/>
              </w:rPr>
              <w:t>President, Chief Executive Officer and 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46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3"/>
        </w:trPr>
        <w:tc>
          <w:tcPr>
            <w:tcW w:w="4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W. Benjamin Moreland</w:t>
            </w:r>
          </w:p>
        </w:tc>
        <w:tc>
          <w:tcPr>
            <w:tcW w:w="44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AY</w:t>
            </w:r>
            <w:r>
              <w:rPr>
                <w:rFonts w:ascii="Arial" w:cs="Arial" w:eastAsia="Arial" w:hAnsi="Arial"/>
                <w:sz w:val="18"/>
                <w:szCs w:val="18"/>
                <w:color w:val="auto"/>
                <w:w w:val="96"/>
              </w:rPr>
              <w:t xml:space="preserve"> A</w:t>
            </w:r>
            <w:r>
              <w:rPr>
                <w:rFonts w:ascii="Arial" w:cs="Arial" w:eastAsia="Arial" w:hAnsi="Arial"/>
                <w:sz w:val="14"/>
                <w:szCs w:val="14"/>
                <w:color w:val="auto"/>
                <w:w w:val="96"/>
              </w:rPr>
              <w:t>.</w:t>
            </w:r>
            <w:r>
              <w:rPr>
                <w:rFonts w:ascii="Arial" w:cs="Arial" w:eastAsia="Arial" w:hAnsi="Arial"/>
                <w:sz w:val="18"/>
                <w:szCs w:val="18"/>
                <w:color w:val="auto"/>
                <w:w w:val="96"/>
              </w:rPr>
              <w:t xml:space="preserve"> B</w:t>
            </w:r>
            <w:r>
              <w:rPr>
                <w:rFonts w:ascii="Arial" w:cs="Arial" w:eastAsia="Arial" w:hAnsi="Arial"/>
                <w:sz w:val="14"/>
                <w:szCs w:val="14"/>
                <w:color w:val="auto"/>
                <w:w w:val="96"/>
              </w:rPr>
              <w:t>ROWN</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w w:val="91"/>
              </w:rPr>
              <w:t>Senior Vice President, Chief Financial Officer and</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460" w:type="dxa"/>
            <w:vAlign w:val="bottom"/>
            <w:gridSpan w:val="3"/>
            <w:vMerge w:val="restart"/>
          </w:tcPr>
          <w:p>
            <w:pPr>
              <w:ind w:left="820"/>
              <w:spacing w:after="0"/>
              <w:rPr>
                <w:sz w:val="20"/>
                <w:szCs w:val="20"/>
                <w:color w:val="auto"/>
              </w:rPr>
            </w:pPr>
            <w:r>
              <w:rPr>
                <w:rFonts w:ascii="Arial" w:cs="Arial" w:eastAsia="Arial" w:hAnsi="Arial"/>
                <w:sz w:val="18"/>
                <w:szCs w:val="18"/>
                <w:color w:val="auto"/>
              </w:rPr>
              <w:t>Treasurer (Principal Financial Officer)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2"/>
              </w:rPr>
              <w:t>Jay A. Brown</w:t>
            </w:r>
          </w:p>
        </w:tc>
        <w:tc>
          <w:tcPr>
            <w:tcW w:w="44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720" w:type="dxa"/>
            <w:vAlign w:val="bottom"/>
            <w:gridSpan w:val="2"/>
          </w:tcPr>
          <w:p>
            <w:pPr>
              <w:ind w:left="1520"/>
              <w:spacing w:after="0"/>
              <w:rPr>
                <w:sz w:val="20"/>
                <w:szCs w:val="20"/>
                <w:color w:val="auto"/>
              </w:rPr>
            </w:pPr>
            <w:r>
              <w:rPr>
                <w:rFonts w:ascii="Arial" w:cs="Arial" w:eastAsia="Arial" w:hAnsi="Arial"/>
                <w:sz w:val="18"/>
                <w:szCs w:val="18"/>
                <w:color w:val="auto"/>
                <w:w w:val="94"/>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R</w:t>
            </w:r>
            <w:r>
              <w:rPr>
                <w:rFonts w:ascii="Arial" w:cs="Arial" w:eastAsia="Arial" w:hAnsi="Arial"/>
                <w:sz w:val="14"/>
                <w:szCs w:val="14"/>
                <w:color w:val="auto"/>
                <w:w w:val="93"/>
              </w:rPr>
              <w:t>OB</w:t>
            </w:r>
            <w:r>
              <w:rPr>
                <w:rFonts w:ascii="Arial" w:cs="Arial" w:eastAsia="Arial" w:hAnsi="Arial"/>
                <w:sz w:val="18"/>
                <w:szCs w:val="18"/>
                <w:color w:val="auto"/>
                <w:w w:val="93"/>
              </w:rPr>
              <w:t xml:space="preserve"> A</w:t>
            </w:r>
            <w:r>
              <w:rPr>
                <w:rFonts w:ascii="Arial" w:cs="Arial" w:eastAsia="Arial" w:hAnsi="Arial"/>
                <w:sz w:val="14"/>
                <w:szCs w:val="14"/>
                <w:color w:val="auto"/>
                <w:w w:val="93"/>
              </w:rPr>
              <w:t>.</w:t>
            </w:r>
            <w:r>
              <w:rPr>
                <w:rFonts w:ascii="Arial" w:cs="Arial" w:eastAsia="Arial" w:hAnsi="Arial"/>
                <w:sz w:val="18"/>
                <w:szCs w:val="18"/>
                <w:color w:val="auto"/>
                <w:w w:val="93"/>
              </w:rPr>
              <w:t xml:space="preserve"> F</w:t>
            </w:r>
            <w:r>
              <w:rPr>
                <w:rFonts w:ascii="Arial" w:cs="Arial" w:eastAsia="Arial" w:hAnsi="Arial"/>
                <w:sz w:val="14"/>
                <w:szCs w:val="14"/>
                <w:color w:val="auto"/>
                <w:w w:val="93"/>
              </w:rPr>
              <w:t>ISHER</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46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3"/>
          </w:tcPr>
          <w:p>
            <w:pPr>
              <w:jc w:val="center"/>
              <w:ind w:right="1700"/>
              <w:spacing w:after="0"/>
              <w:rPr>
                <w:sz w:val="20"/>
                <w:szCs w:val="20"/>
                <w:color w:val="auto"/>
              </w:rPr>
            </w:pPr>
            <w:r>
              <w:rPr>
                <w:rFonts w:ascii="Arial" w:cs="Arial" w:eastAsia="Arial" w:hAnsi="Arial"/>
                <w:sz w:val="16"/>
                <w:szCs w:val="16"/>
                <w:b w:val="1"/>
                <w:bCs w:val="1"/>
                <w:color w:val="auto"/>
                <w:w w:val="92"/>
              </w:rPr>
              <w:t>Rob A. Fisher</w:t>
            </w:r>
          </w:p>
        </w:tc>
        <w:tc>
          <w:tcPr>
            <w:tcW w:w="44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720" w:type="dxa"/>
            <w:vAlign w:val="bottom"/>
            <w:gridSpan w:val="2"/>
          </w:tcPr>
          <w:p>
            <w:pPr>
              <w:ind w:left="140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rPr>
              <w:t>J. L</w:t>
            </w:r>
            <w:r>
              <w:rPr>
                <w:rFonts w:ascii="Arial" w:cs="Arial" w:eastAsia="Arial" w:hAnsi="Arial"/>
                <w:sz w:val="14"/>
                <w:szCs w:val="14"/>
                <w:color w:val="auto"/>
              </w:rPr>
              <w:t>ANDIS</w:t>
            </w:r>
            <w:r>
              <w:rPr>
                <w:rFonts w:ascii="Arial" w:cs="Arial" w:eastAsia="Arial" w:hAnsi="Arial"/>
                <w:sz w:val="18"/>
                <w:szCs w:val="18"/>
                <w:color w:val="auto"/>
              </w:rPr>
              <w:t xml:space="preserve"> M</w:t>
            </w:r>
            <w:r>
              <w:rPr>
                <w:rFonts w:ascii="Arial" w:cs="Arial" w:eastAsia="Arial" w:hAnsi="Arial"/>
                <w:sz w:val="14"/>
                <w:szCs w:val="14"/>
                <w:color w:val="auto"/>
              </w:rPr>
              <w:t>ARTIN</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6"/>
              </w:rPr>
              <w:t>J. Landis Martin</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ind w:left="1320"/>
              <w:spacing w:after="0"/>
              <w:rPr>
                <w:sz w:val="20"/>
                <w:szCs w:val="20"/>
                <w:color w:val="auto"/>
              </w:rPr>
            </w:pPr>
            <w:r>
              <w:rPr>
                <w:rFonts w:ascii="Arial" w:cs="Arial" w:eastAsia="Arial" w:hAnsi="Arial"/>
                <w:sz w:val="18"/>
                <w:szCs w:val="18"/>
                <w:color w:val="auto"/>
                <w:w w:val="94"/>
              </w:rPr>
              <w:t>/s/</w:t>
            </w:r>
          </w:p>
        </w:tc>
        <w:tc>
          <w:tcPr>
            <w:tcW w:w="2940" w:type="dxa"/>
            <w:vAlign w:val="bottom"/>
            <w:gridSpan w:val="4"/>
          </w:tcPr>
          <w:p>
            <w:pPr>
              <w:jc w:val="center"/>
              <w:ind w:right="1160"/>
              <w:spacing w:after="0"/>
              <w:rPr>
                <w:sz w:val="20"/>
                <w:szCs w:val="20"/>
                <w:color w:val="auto"/>
              </w:rPr>
            </w:pPr>
            <w:r>
              <w:rPr>
                <w:rFonts w:ascii="Arial" w:cs="Arial" w:eastAsia="Arial" w:hAnsi="Arial"/>
                <w:sz w:val="18"/>
                <w:szCs w:val="18"/>
                <w:color w:val="auto"/>
                <w:w w:val="95"/>
              </w:rPr>
              <w:t>P. R</w:t>
            </w:r>
            <w:r>
              <w:rPr>
                <w:rFonts w:ascii="Arial" w:cs="Arial" w:eastAsia="Arial" w:hAnsi="Arial"/>
                <w:sz w:val="14"/>
                <w:szCs w:val="14"/>
                <w:color w:val="auto"/>
                <w:w w:val="95"/>
              </w:rPr>
              <w:t>OBERT</w:t>
            </w:r>
            <w:r>
              <w:rPr>
                <w:rFonts w:ascii="Arial" w:cs="Arial" w:eastAsia="Arial" w:hAnsi="Arial"/>
                <w:sz w:val="18"/>
                <w:szCs w:val="18"/>
                <w:color w:val="auto"/>
                <w:w w:val="95"/>
              </w:rPr>
              <w:t xml:space="preserve"> B</w:t>
            </w:r>
            <w:r>
              <w:rPr>
                <w:rFonts w:ascii="Arial" w:cs="Arial" w:eastAsia="Arial" w:hAnsi="Arial"/>
                <w:sz w:val="14"/>
                <w:szCs w:val="14"/>
                <w:color w:val="auto"/>
                <w:w w:val="95"/>
              </w:rPr>
              <w:t>ARTOLO</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2"/>
              </w:rPr>
              <w:t>P. Robert Bartolo</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720" w:type="dxa"/>
            <w:vAlign w:val="bottom"/>
            <w:gridSpan w:val="2"/>
          </w:tcPr>
          <w:p>
            <w:pPr>
              <w:ind w:left="148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INDY</w:t>
            </w:r>
            <w:r>
              <w:rPr>
                <w:rFonts w:ascii="Arial" w:cs="Arial" w:eastAsia="Arial" w:hAnsi="Arial"/>
                <w:sz w:val="18"/>
                <w:szCs w:val="18"/>
                <w:color w:val="auto"/>
                <w:w w:val="98"/>
              </w:rPr>
              <w:t xml:space="preserve"> C</w:t>
            </w:r>
            <w:r>
              <w:rPr>
                <w:rFonts w:ascii="Arial" w:cs="Arial" w:eastAsia="Arial" w:hAnsi="Arial"/>
                <w:sz w:val="14"/>
                <w:szCs w:val="14"/>
                <w:color w:val="auto"/>
                <w:w w:val="98"/>
              </w:rPr>
              <w:t>HRISTY</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4"/>
              </w:rPr>
              <w:t>Cindy Christy</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ind w:left="1360"/>
              <w:spacing w:after="0"/>
              <w:rPr>
                <w:sz w:val="20"/>
                <w:szCs w:val="20"/>
                <w:color w:val="auto"/>
              </w:rPr>
            </w:pPr>
            <w:r>
              <w:rPr>
                <w:rFonts w:ascii="Arial" w:cs="Arial" w:eastAsia="Arial" w:hAnsi="Arial"/>
                <w:sz w:val="18"/>
                <w:szCs w:val="18"/>
                <w:color w:val="auto"/>
                <w:w w:val="73"/>
              </w:rPr>
              <w:t>/s/</w:t>
            </w:r>
          </w:p>
        </w:tc>
        <w:tc>
          <w:tcPr>
            <w:tcW w:w="2940" w:type="dxa"/>
            <w:vAlign w:val="bottom"/>
            <w:gridSpan w:val="4"/>
          </w:tcPr>
          <w:p>
            <w:pPr>
              <w:jc w:val="center"/>
              <w:ind w:right="1160"/>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RI</w:t>
            </w:r>
            <w:r>
              <w:rPr>
                <w:rFonts w:ascii="Arial" w:cs="Arial" w:eastAsia="Arial" w:hAnsi="Arial"/>
                <w:sz w:val="18"/>
                <w:szCs w:val="18"/>
                <w:color w:val="auto"/>
                <w:w w:val="98"/>
              </w:rPr>
              <w:t xml:space="preserve"> Q</w:t>
            </w:r>
            <w:r>
              <w:rPr>
                <w:rFonts w:ascii="Arial" w:cs="Arial" w:eastAsia="Arial" w:hAnsi="Arial"/>
                <w:sz w:val="14"/>
                <w:szCs w:val="14"/>
                <w:color w:val="auto"/>
                <w:w w:val="98"/>
              </w:rPr>
              <w:t>.</w:t>
            </w:r>
            <w:r>
              <w:rPr>
                <w:rFonts w:ascii="Arial" w:cs="Arial" w:eastAsia="Arial" w:hAnsi="Arial"/>
                <w:sz w:val="18"/>
                <w:szCs w:val="18"/>
                <w:color w:val="auto"/>
                <w:w w:val="98"/>
              </w:rPr>
              <w:t xml:space="preserve"> F</w:t>
            </w:r>
            <w:r>
              <w:rPr>
                <w:rFonts w:ascii="Arial" w:cs="Arial" w:eastAsia="Arial" w:hAnsi="Arial"/>
                <w:sz w:val="14"/>
                <w:szCs w:val="14"/>
                <w:color w:val="auto"/>
                <w:w w:val="98"/>
              </w:rPr>
              <w:t>ITZGERALD</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w w:val="97"/>
              </w:rPr>
              <w:t>Ari Q. Fitzgerald</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ind w:left="1200"/>
              <w:spacing w:after="0"/>
              <w:rPr>
                <w:sz w:val="20"/>
                <w:szCs w:val="20"/>
                <w:color w:val="auto"/>
              </w:rPr>
            </w:pPr>
            <w:r>
              <w:rPr>
                <w:rFonts w:ascii="Arial" w:cs="Arial" w:eastAsia="Arial" w:hAnsi="Arial"/>
                <w:sz w:val="18"/>
                <w:szCs w:val="18"/>
                <w:color w:val="auto"/>
              </w:rPr>
              <w:t>/s/</w:t>
            </w:r>
          </w:p>
        </w:tc>
        <w:tc>
          <w:tcPr>
            <w:tcW w:w="2940" w:type="dxa"/>
            <w:vAlign w:val="bottom"/>
            <w:gridSpan w:val="4"/>
          </w:tcPr>
          <w:p>
            <w:pPr>
              <w:jc w:val="center"/>
              <w:ind w:right="1140"/>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OBERT</w:t>
            </w:r>
            <w:r>
              <w:rPr>
                <w:rFonts w:ascii="Arial" w:cs="Arial" w:eastAsia="Arial" w:hAnsi="Arial"/>
                <w:sz w:val="18"/>
                <w:szCs w:val="18"/>
                <w:color w:val="auto"/>
                <w:w w:val="95"/>
              </w:rPr>
              <w:t xml:space="preserve"> E</w:t>
            </w:r>
            <w:r>
              <w:rPr>
                <w:rFonts w:ascii="Arial" w:cs="Arial" w:eastAsia="Arial" w:hAnsi="Arial"/>
                <w:sz w:val="14"/>
                <w:szCs w:val="14"/>
                <w:color w:val="auto"/>
                <w:w w:val="95"/>
              </w:rPr>
              <w:t>.</w:t>
            </w:r>
            <w:r>
              <w:rPr>
                <w:rFonts w:ascii="Arial" w:cs="Arial" w:eastAsia="Arial" w:hAnsi="Arial"/>
                <w:sz w:val="18"/>
                <w:szCs w:val="18"/>
                <w:color w:val="auto"/>
                <w:w w:val="95"/>
              </w:rPr>
              <w:t xml:space="preserve"> G</w:t>
            </w:r>
            <w:r>
              <w:rPr>
                <w:rFonts w:ascii="Arial" w:cs="Arial" w:eastAsia="Arial" w:hAnsi="Arial"/>
                <w:sz w:val="14"/>
                <w:szCs w:val="14"/>
                <w:color w:val="auto"/>
                <w:w w:val="95"/>
              </w:rPr>
              <w:t>ARRISON</w:t>
            </w:r>
            <w:r>
              <w:rPr>
                <w:rFonts w:ascii="Arial" w:cs="Arial" w:eastAsia="Arial" w:hAnsi="Arial"/>
                <w:sz w:val="18"/>
                <w:szCs w:val="18"/>
                <w:color w:val="auto"/>
                <w:w w:val="95"/>
              </w:rPr>
              <w:t xml:space="preserve"> II</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7"/>
              </w:rPr>
              <w:t>Robert E. Garrison II</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720" w:type="dxa"/>
            <w:vAlign w:val="bottom"/>
            <w:gridSpan w:val="2"/>
          </w:tcPr>
          <w:p>
            <w:pPr>
              <w:ind w:left="138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34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ALE</w:t>
            </w:r>
            <w:r>
              <w:rPr>
                <w:rFonts w:ascii="Arial" w:cs="Arial" w:eastAsia="Arial" w:hAnsi="Arial"/>
                <w:sz w:val="18"/>
                <w:szCs w:val="18"/>
                <w:color w:val="auto"/>
                <w:w w:val="99"/>
              </w:rPr>
              <w:t xml:space="preserve"> N</w:t>
            </w:r>
            <w:r>
              <w:rPr>
                <w:rFonts w:ascii="Arial" w:cs="Arial" w:eastAsia="Arial" w:hAnsi="Arial"/>
                <w:sz w:val="14"/>
                <w:szCs w:val="14"/>
                <w:color w:val="auto"/>
                <w:w w:val="99"/>
              </w:rPr>
              <w:t>.</w:t>
            </w:r>
            <w:r>
              <w:rPr>
                <w:rFonts w:ascii="Arial" w:cs="Arial" w:eastAsia="Arial" w:hAnsi="Arial"/>
                <w:sz w:val="18"/>
                <w:szCs w:val="18"/>
                <w:color w:val="auto"/>
                <w:w w:val="99"/>
              </w:rPr>
              <w:t xml:space="preserve"> H</w:t>
            </w:r>
            <w:r>
              <w:rPr>
                <w:rFonts w:ascii="Arial" w:cs="Arial" w:eastAsia="Arial" w:hAnsi="Arial"/>
                <w:sz w:val="14"/>
                <w:szCs w:val="14"/>
                <w:color w:val="auto"/>
                <w:w w:val="99"/>
              </w:rPr>
              <w:t>ATFIELD</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w w:val="95"/>
              </w:rPr>
              <w:t>Dale N. Hatfield</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720" w:type="dxa"/>
            <w:vAlign w:val="bottom"/>
            <w:gridSpan w:val="2"/>
          </w:tcPr>
          <w:p>
            <w:pPr>
              <w:ind w:left="150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EE</w:t>
            </w:r>
            <w:r>
              <w:rPr>
                <w:rFonts w:ascii="Arial" w:cs="Arial" w:eastAsia="Arial" w:hAnsi="Arial"/>
                <w:sz w:val="18"/>
                <w:szCs w:val="18"/>
                <w:color w:val="auto"/>
                <w:w w:val="96"/>
              </w:rPr>
              <w:t xml:space="preserve"> W</w:t>
            </w:r>
            <w:r>
              <w:rPr>
                <w:rFonts w:ascii="Arial" w:cs="Arial" w:eastAsia="Arial" w:hAnsi="Arial"/>
                <w:sz w:val="14"/>
                <w:szCs w:val="14"/>
                <w:color w:val="auto"/>
                <w:w w:val="96"/>
              </w:rPr>
              <w:t>.</w:t>
            </w:r>
            <w:r>
              <w:rPr>
                <w:rFonts w:ascii="Arial" w:cs="Arial" w:eastAsia="Arial" w:hAnsi="Arial"/>
                <w:sz w:val="18"/>
                <w:szCs w:val="18"/>
                <w:color w:val="auto"/>
                <w:w w:val="96"/>
              </w:rPr>
              <w:t xml:space="preserve"> H</w:t>
            </w:r>
            <w:r>
              <w:rPr>
                <w:rFonts w:ascii="Arial" w:cs="Arial" w:eastAsia="Arial" w:hAnsi="Arial"/>
                <w:sz w:val="14"/>
                <w:szCs w:val="14"/>
                <w:color w:val="auto"/>
                <w:w w:val="96"/>
              </w:rPr>
              <w:t>OGAN</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2"/>
              </w:rPr>
              <w:t>Lee W. Hogan</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4460" w:type="dxa"/>
            <w:vAlign w:val="bottom"/>
            <w:gridSpan w:val="5"/>
          </w:tcPr>
          <w:p>
            <w:pPr>
              <w:jc w:val="center"/>
              <w:spacing w:after="0"/>
              <w:rPr>
                <w:sz w:val="20"/>
                <w:szCs w:val="20"/>
                <w:color w:val="auto"/>
              </w:rPr>
            </w:pPr>
            <w:r>
              <w:rPr>
                <w:rFonts w:ascii="Arial" w:cs="Arial" w:eastAsia="Arial" w:hAnsi="Arial"/>
                <w:sz w:val="16"/>
                <w:szCs w:val="16"/>
                <w:color w:val="auto"/>
                <w:w w:val="97"/>
              </w:rPr>
              <w:t xml:space="preserve">/s/  </w:t>
            </w:r>
            <w:r>
              <w:rPr>
                <w:rFonts w:ascii="Arial" w:cs="Arial" w:eastAsia="Arial" w:hAnsi="Arial"/>
                <w:sz w:val="18"/>
                <w:szCs w:val="18"/>
                <w:color w:val="auto"/>
                <w:w w:val="97"/>
              </w:rPr>
              <w:t>E</w:t>
            </w:r>
            <w:r>
              <w:rPr>
                <w:rFonts w:ascii="Arial" w:cs="Arial" w:eastAsia="Arial" w:hAnsi="Arial"/>
                <w:sz w:val="14"/>
                <w:szCs w:val="14"/>
                <w:color w:val="auto"/>
                <w:w w:val="97"/>
              </w:rPr>
              <w:t>DWARD</w:t>
            </w:r>
            <w:r>
              <w:rPr>
                <w:rFonts w:ascii="Arial" w:cs="Arial" w:eastAsia="Arial" w:hAnsi="Arial"/>
                <w:sz w:val="16"/>
                <w:szCs w:val="16"/>
                <w:color w:val="auto"/>
                <w:w w:val="97"/>
              </w:rPr>
              <w:t xml:space="preserve"> </w:t>
            </w:r>
            <w:r>
              <w:rPr>
                <w:rFonts w:ascii="Arial" w:cs="Arial" w:eastAsia="Arial" w:hAnsi="Arial"/>
                <w:sz w:val="18"/>
                <w:szCs w:val="18"/>
                <w:color w:val="auto"/>
                <w:w w:val="97"/>
              </w:rPr>
              <w:t>C. H</w:t>
            </w:r>
            <w:r>
              <w:rPr>
                <w:rFonts w:ascii="Arial" w:cs="Arial" w:eastAsia="Arial" w:hAnsi="Arial"/>
                <w:sz w:val="14"/>
                <w:szCs w:val="14"/>
                <w:color w:val="auto"/>
                <w:w w:val="97"/>
              </w:rPr>
              <w:t>UTCHESON,</w:t>
            </w:r>
            <w:r>
              <w:rPr>
                <w:rFonts w:ascii="Arial" w:cs="Arial" w:eastAsia="Arial" w:hAnsi="Arial"/>
                <w:sz w:val="16"/>
                <w:szCs w:val="16"/>
                <w:color w:val="auto"/>
                <w:w w:val="97"/>
              </w:rPr>
              <w:t xml:space="preserve"> </w:t>
            </w:r>
            <w:r>
              <w:rPr>
                <w:rFonts w:ascii="Arial" w:cs="Arial" w:eastAsia="Arial" w:hAnsi="Arial"/>
                <w:sz w:val="18"/>
                <w:szCs w:val="18"/>
                <w:color w:val="auto"/>
                <w:w w:val="97"/>
              </w:rPr>
              <w:t>J</w:t>
            </w:r>
            <w:r>
              <w:rPr>
                <w:rFonts w:ascii="Arial" w:cs="Arial" w:eastAsia="Arial" w:hAnsi="Arial"/>
                <w:sz w:val="14"/>
                <w:szCs w:val="14"/>
                <w:color w:val="auto"/>
                <w:w w:val="97"/>
              </w:rPr>
              <w:t>R.</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Edward C. Hutcheson, Jr.</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OHN</w:t>
            </w:r>
            <w:r>
              <w:rPr>
                <w:rFonts w:ascii="Arial" w:cs="Arial" w:eastAsia="Arial" w:hAnsi="Arial"/>
                <w:sz w:val="18"/>
                <w:szCs w:val="18"/>
                <w:color w:val="auto"/>
                <w:w w:val="93"/>
              </w:rPr>
              <w:t xml:space="preserve"> P. K</w:t>
            </w:r>
            <w:r>
              <w:rPr>
                <w:rFonts w:ascii="Arial" w:cs="Arial" w:eastAsia="Arial" w:hAnsi="Arial"/>
                <w:sz w:val="14"/>
                <w:szCs w:val="14"/>
                <w:color w:val="auto"/>
                <w:w w:val="93"/>
              </w:rPr>
              <w:t>ELLY</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center"/>
              <w:ind w:right="1700"/>
              <w:spacing w:after="0"/>
              <w:rPr>
                <w:sz w:val="20"/>
                <w:szCs w:val="20"/>
                <w:color w:val="auto"/>
              </w:rPr>
            </w:pPr>
            <w:r>
              <w:rPr>
                <w:rFonts w:ascii="Arial" w:cs="Arial" w:eastAsia="Arial" w:hAnsi="Arial"/>
                <w:sz w:val="16"/>
                <w:szCs w:val="16"/>
                <w:b w:val="1"/>
                <w:bCs w:val="1"/>
                <w:color w:val="auto"/>
                <w:w w:val="91"/>
              </w:rPr>
              <w:t>John P. Kelly</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ind w:left="1280"/>
              <w:spacing w:after="0"/>
              <w:rPr>
                <w:sz w:val="20"/>
                <w:szCs w:val="20"/>
                <w:color w:val="auto"/>
              </w:rPr>
            </w:pPr>
            <w:r>
              <w:rPr>
                <w:rFonts w:ascii="Arial" w:cs="Arial" w:eastAsia="Arial" w:hAnsi="Arial"/>
                <w:sz w:val="18"/>
                <w:szCs w:val="18"/>
                <w:color w:val="auto"/>
              </w:rPr>
              <w:t>/s/</w:t>
            </w:r>
          </w:p>
        </w:tc>
        <w:tc>
          <w:tcPr>
            <w:tcW w:w="2940" w:type="dxa"/>
            <w:vAlign w:val="bottom"/>
            <w:gridSpan w:val="4"/>
          </w:tcPr>
          <w:p>
            <w:pPr>
              <w:jc w:val="center"/>
              <w:ind w:right="116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F</w:t>
            </w:r>
            <w:r>
              <w:rPr>
                <w:rFonts w:ascii="Arial" w:cs="Arial" w:eastAsia="Arial" w:hAnsi="Arial"/>
                <w:sz w:val="14"/>
                <w:szCs w:val="14"/>
                <w:color w:val="auto"/>
                <w:w w:val="97"/>
              </w:rPr>
              <w:t>.</w:t>
            </w:r>
            <w:r>
              <w:rPr>
                <w:rFonts w:ascii="Arial" w:cs="Arial" w:eastAsia="Arial" w:hAnsi="Arial"/>
                <w:sz w:val="18"/>
                <w:szCs w:val="18"/>
                <w:color w:val="auto"/>
                <w:w w:val="97"/>
              </w:rPr>
              <w:t xml:space="preserve"> M</w:t>
            </w:r>
            <w:r>
              <w:rPr>
                <w:rFonts w:ascii="Arial" w:cs="Arial" w:eastAsia="Arial" w:hAnsi="Arial"/>
                <w:sz w:val="14"/>
                <w:szCs w:val="14"/>
                <w:color w:val="auto"/>
                <w:w w:val="97"/>
              </w:rPr>
              <w:t>CKENZIE</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w w:val="94"/>
              </w:rPr>
              <w:t>Robert F. McKenzie</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ind w:left="1260"/>
              <w:spacing w:after="0"/>
              <w:rPr>
                <w:sz w:val="20"/>
                <w:szCs w:val="20"/>
                <w:color w:val="auto"/>
              </w:rPr>
            </w:pPr>
            <w:r>
              <w:rPr>
                <w:rFonts w:ascii="Arial" w:cs="Arial" w:eastAsia="Arial" w:hAnsi="Arial"/>
                <w:sz w:val="16"/>
                <w:szCs w:val="16"/>
                <w:color w:val="auto"/>
              </w:rPr>
              <w:t>/s/</w:t>
            </w:r>
          </w:p>
        </w:tc>
        <w:tc>
          <w:tcPr>
            <w:tcW w:w="2940" w:type="dxa"/>
            <w:vAlign w:val="bottom"/>
            <w:gridSpan w:val="4"/>
          </w:tcPr>
          <w:p>
            <w:pPr>
              <w:jc w:val="center"/>
              <w:ind w:right="1200"/>
              <w:spacing w:after="0"/>
              <w:rPr>
                <w:sz w:val="20"/>
                <w:szCs w:val="20"/>
                <w:color w:val="auto"/>
              </w:rPr>
            </w:pPr>
            <w:r>
              <w:rPr>
                <w:rFonts w:ascii="Arial" w:cs="Arial" w:eastAsia="Arial" w:hAnsi="Arial"/>
                <w:sz w:val="16"/>
                <w:szCs w:val="16"/>
                <w:color w:val="auto"/>
                <w:w w:val="99"/>
              </w:rPr>
              <w:t>ANTHONY J. MELONE</w:t>
            </w:r>
          </w:p>
        </w:tc>
        <w:tc>
          <w:tcPr>
            <w:tcW w:w="446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Anthony J. Melone</w:t>
            </w: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20" w:type="dxa"/>
            <w:vAlign w:val="bottom"/>
          </w:tcPr>
          <w:p>
            <w:pPr>
              <w:ind w:left="116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93"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2"/>
          <w:szCs w:val="22"/>
          <w:b w:val="1"/>
          <w:bCs w:val="1"/>
          <w:color w:val="auto"/>
        </w:rPr>
        <w:t>SEVERANCE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SEVERANCE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dated effective _____________, 20__ (“</w:t>
      </w:r>
      <w:r>
        <w:rPr>
          <w:rFonts w:ascii="Arial" w:cs="Arial" w:eastAsia="Arial" w:hAnsi="Arial"/>
          <w:sz w:val="19"/>
          <w:szCs w:val="19"/>
          <w:u w:val="single" w:color="auto"/>
          <w:color w:val="auto"/>
        </w:rPr>
        <w:t>Commencement Date</w:t>
      </w:r>
      <w:r>
        <w:rPr>
          <w:rFonts w:ascii="Arial" w:cs="Arial" w:eastAsia="Arial" w:hAnsi="Arial"/>
          <w:sz w:val="19"/>
          <w:szCs w:val="19"/>
          <w:color w:val="auto"/>
        </w:rPr>
        <w:t>”) by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between Crown Castle International Corp. and _________________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This Agreement sets forth the terms and conditions of contingent severance arrangements between the Company (as defined below) and the Executive and cancels and supersedes all other severance related agreements between the parties.</w:t>
      </w:r>
    </w:p>
    <w:p>
      <w:pPr>
        <w:spacing w:after="0" w:line="105"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For all purposes hereof, the following defined terms have the meanings set forth below:</w:t>
      </w:r>
    </w:p>
    <w:p>
      <w:pPr>
        <w:spacing w:after="0" w:line="219" w:lineRule="exact"/>
        <w:rPr>
          <w:rFonts w:ascii="Arial" w:cs="Arial" w:eastAsia="Arial" w:hAnsi="Arial"/>
          <w:sz w:val="22"/>
          <w:szCs w:val="22"/>
          <w:color w:val="auto"/>
        </w:rPr>
      </w:pPr>
    </w:p>
    <w:p>
      <w:pPr>
        <w:jc w:val="both"/>
        <w:ind w:left="660" w:right="200"/>
        <w:spacing w:after="0" w:line="271" w:lineRule="auto"/>
        <w:rPr>
          <w:rFonts w:ascii="Arial" w:cs="Arial" w:eastAsia="Arial" w:hAnsi="Arial"/>
          <w:sz w:val="22"/>
          <w:szCs w:val="22"/>
          <w:color w:val="auto"/>
        </w:rPr>
      </w:pPr>
      <w:r>
        <w:rPr>
          <w:rFonts w:ascii="Arial" w:cs="Arial" w:eastAsia="Arial" w:hAnsi="Arial"/>
          <w:sz w:val="21"/>
          <w:szCs w:val="21"/>
          <w:color w:val="auto"/>
        </w:rPr>
        <w:t>1.1 “</w:t>
      </w:r>
      <w:r>
        <w:rPr>
          <w:rFonts w:ascii="Arial" w:cs="Arial" w:eastAsia="Arial" w:hAnsi="Arial"/>
          <w:sz w:val="21"/>
          <w:szCs w:val="21"/>
          <w:u w:val="single" w:color="auto"/>
          <w:color w:val="auto"/>
        </w:rPr>
        <w:t>Accrued Obligations</w:t>
      </w:r>
      <w:r>
        <w:rPr>
          <w:rFonts w:ascii="Arial" w:cs="Arial" w:eastAsia="Arial" w:hAnsi="Arial"/>
          <w:sz w:val="21"/>
          <w:szCs w:val="21"/>
          <w:color w:val="auto"/>
        </w:rPr>
        <w:t>” means all (i) accrued but unpaid Base Salary to the Executive’s Date of Termination, (ii) any earned but unpaid bonus (other than the Current Annual Bonus and Prior Year Bonus), and (iii) any benefits for which the Executive is eligible under the terms of any benefit Plan of the Company or its subsidiaries.</w:t>
      </w:r>
    </w:p>
    <w:p>
      <w:pPr>
        <w:spacing w:after="0" w:line="16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1"/>
          <w:szCs w:val="21"/>
          <w:color w:val="auto"/>
        </w:rPr>
        <w:t>1.2  “</w:t>
      </w:r>
      <w:r>
        <w:rPr>
          <w:rFonts w:ascii="Arial" w:cs="Arial" w:eastAsia="Arial" w:hAnsi="Arial"/>
          <w:sz w:val="21"/>
          <w:szCs w:val="21"/>
          <w:u w:val="single" w:color="auto"/>
          <w:color w:val="auto"/>
        </w:rPr>
        <w:t>Annual Bonus</w:t>
      </w:r>
      <w:r>
        <w:rPr>
          <w:rFonts w:ascii="Arial" w:cs="Arial" w:eastAsia="Arial" w:hAnsi="Arial"/>
          <w:sz w:val="21"/>
          <w:szCs w:val="21"/>
          <w:color w:val="auto"/>
        </w:rPr>
        <w:t>” means the Executive’s target annual bonus for the calendar year with the Date of Termination.</w:t>
      </w:r>
    </w:p>
    <w:p>
      <w:pPr>
        <w:spacing w:after="0" w:line="231" w:lineRule="exact"/>
        <w:rPr>
          <w:rFonts w:ascii="Arial" w:cs="Arial" w:eastAsia="Arial" w:hAnsi="Arial"/>
          <w:sz w:val="22"/>
          <w:szCs w:val="22"/>
          <w:color w:val="auto"/>
        </w:rPr>
      </w:pPr>
    </w:p>
    <w:p>
      <w:pPr>
        <w:ind w:left="660" w:right="200"/>
        <w:spacing w:after="0" w:line="253" w:lineRule="auto"/>
        <w:rPr>
          <w:rFonts w:ascii="Arial" w:cs="Arial" w:eastAsia="Arial" w:hAnsi="Arial"/>
          <w:sz w:val="22"/>
          <w:szCs w:val="22"/>
          <w:color w:val="auto"/>
        </w:rPr>
      </w:pPr>
      <w:r>
        <w:rPr>
          <w:rFonts w:ascii="Arial" w:cs="Arial" w:eastAsia="Arial" w:hAnsi="Arial"/>
          <w:sz w:val="22"/>
          <w:szCs w:val="22"/>
          <w:color w:val="auto"/>
        </w:rPr>
        <w:t>1.3 “</w:t>
      </w:r>
      <w:r>
        <w:rPr>
          <w:rFonts w:ascii="Arial" w:cs="Arial" w:eastAsia="Arial" w:hAnsi="Arial"/>
          <w:sz w:val="22"/>
          <w:szCs w:val="22"/>
          <w:u w:val="single" w:color="auto"/>
          <w:color w:val="auto"/>
        </w:rPr>
        <w:t>Base Salary</w:t>
      </w:r>
      <w:r>
        <w:rPr>
          <w:rFonts w:ascii="Arial" w:cs="Arial" w:eastAsia="Arial" w:hAnsi="Arial"/>
          <w:sz w:val="22"/>
          <w:szCs w:val="22"/>
          <w:color w:val="auto"/>
        </w:rPr>
        <w:t>” means the greater of (i) the Executive’s annual base salary as of the date of Executive’s Qualifying Termination (without taking into account any reductions that constitute Good Reason) or (ii) if applicable, the Executive’s annual base salary in effect on the date of a Change in Control.</w:t>
      </w:r>
    </w:p>
    <w:p>
      <w:pPr>
        <w:spacing w:after="0" w:line="185" w:lineRule="exact"/>
        <w:rPr>
          <w:rFonts w:ascii="Arial" w:cs="Arial" w:eastAsia="Arial" w:hAnsi="Arial"/>
          <w:sz w:val="22"/>
          <w:szCs w:val="22"/>
          <w:color w:val="auto"/>
        </w:rPr>
      </w:pPr>
    </w:p>
    <w:p>
      <w:pPr>
        <w:ind w:left="660"/>
        <w:spacing w:after="0" w:line="250" w:lineRule="auto"/>
        <w:rPr>
          <w:rFonts w:ascii="Arial" w:cs="Arial" w:eastAsia="Arial" w:hAnsi="Arial"/>
          <w:sz w:val="22"/>
          <w:szCs w:val="22"/>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Cause</w:t>
      </w:r>
      <w:r>
        <w:rPr>
          <w:rFonts w:ascii="Arial" w:cs="Arial" w:eastAsia="Arial" w:hAnsi="Arial"/>
          <w:sz w:val="22"/>
          <w:szCs w:val="22"/>
          <w:color w:val="auto"/>
        </w:rPr>
        <w:t xml:space="preserve">” means (i) the Executive’s conviction of, or plea of guilty or </w:t>
      </w:r>
      <w:r>
        <w:rPr>
          <w:rFonts w:ascii="Arial" w:cs="Arial" w:eastAsia="Arial" w:hAnsi="Arial"/>
          <w:sz w:val="22"/>
          <w:szCs w:val="22"/>
          <w:u w:val="single" w:color="auto"/>
          <w:color w:val="auto"/>
        </w:rPr>
        <w:t>nolo contendere</w:t>
      </w:r>
      <w:r>
        <w:rPr>
          <w:rFonts w:ascii="Arial" w:cs="Arial" w:eastAsia="Arial" w:hAnsi="Arial"/>
          <w:sz w:val="22"/>
          <w:szCs w:val="22"/>
          <w:color w:val="auto"/>
        </w:rPr>
        <w:t xml:space="preserve"> to, any criminal violation involving dishonesty, fraud or breach of trust, or any felony which materially adversely affects the Company or (ii) willful engagement by the Executive in gross misconduct in the performance of duties owed the Company that materially adversely affects the Company.</w:t>
      </w:r>
    </w:p>
    <w:p>
      <w:pPr>
        <w:spacing w:after="0" w:line="18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Change in Control</w:t>
      </w:r>
      <w:r>
        <w:rPr>
          <w:rFonts w:ascii="Arial" w:cs="Arial" w:eastAsia="Arial" w:hAnsi="Arial"/>
          <w:sz w:val="22"/>
          <w:szCs w:val="22"/>
          <w:color w:val="auto"/>
        </w:rPr>
        <w:t>” has the meaning set forth on Schedule 1 hereto.</w:t>
      </w:r>
    </w:p>
    <w:p>
      <w:pPr>
        <w:spacing w:after="0" w:line="219" w:lineRule="exact"/>
        <w:rPr>
          <w:rFonts w:ascii="Arial" w:cs="Arial" w:eastAsia="Arial" w:hAnsi="Arial"/>
          <w:sz w:val="22"/>
          <w:szCs w:val="22"/>
          <w:color w:val="auto"/>
        </w:rPr>
      </w:pPr>
    </w:p>
    <w:p>
      <w:pPr>
        <w:ind w:left="660" w:right="120"/>
        <w:spacing w:after="0" w:line="263" w:lineRule="auto"/>
        <w:rPr>
          <w:rFonts w:ascii="Arial" w:cs="Arial" w:eastAsia="Arial" w:hAnsi="Arial"/>
          <w:sz w:val="22"/>
          <w:szCs w:val="22"/>
          <w:color w:val="auto"/>
        </w:rPr>
      </w:pPr>
      <w:r>
        <w:rPr>
          <w:rFonts w:ascii="Arial" w:cs="Arial" w:eastAsia="Arial" w:hAnsi="Arial"/>
          <w:sz w:val="22"/>
          <w:szCs w:val="22"/>
          <w:color w:val="auto"/>
        </w:rPr>
        <w:t>1.6 “</w:t>
      </w: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means the period beginning on the date of a Change in Control and ending on the second anniversary of that Change in Control.</w:t>
      </w:r>
    </w:p>
    <w:p>
      <w:pPr>
        <w:spacing w:after="0" w:line="17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Code</w:t>
      </w:r>
      <w:r>
        <w:rPr>
          <w:rFonts w:ascii="Arial" w:cs="Arial" w:eastAsia="Arial" w:hAnsi="Arial"/>
          <w:sz w:val="22"/>
          <w:szCs w:val="22"/>
          <w:color w:val="auto"/>
        </w:rPr>
        <w:t>” means Internal Revenue Code of 1986, as amended.</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Company</w:t>
      </w:r>
      <w:r>
        <w:rPr>
          <w:rFonts w:ascii="Arial" w:cs="Arial" w:eastAsia="Arial" w:hAnsi="Arial"/>
          <w:sz w:val="22"/>
          <w:szCs w:val="22"/>
          <w:color w:val="auto"/>
        </w:rPr>
        <w:t>” means Crown Castle International Corp. and any successors thereto.</w:t>
      </w:r>
    </w:p>
    <w:p>
      <w:pPr>
        <w:spacing w:after="0" w:line="219" w:lineRule="exact"/>
        <w:rPr>
          <w:rFonts w:ascii="Arial" w:cs="Arial" w:eastAsia="Arial" w:hAnsi="Arial"/>
          <w:sz w:val="22"/>
          <w:szCs w:val="22"/>
          <w:color w:val="auto"/>
        </w:rPr>
      </w:pPr>
    </w:p>
    <w:p>
      <w:pPr>
        <w:ind w:left="660" w:right="1100"/>
        <w:spacing w:after="0" w:line="343" w:lineRule="auto"/>
        <w:rPr>
          <w:rFonts w:ascii="Arial" w:cs="Arial" w:eastAsia="Arial" w:hAnsi="Arial"/>
          <w:sz w:val="22"/>
          <w:szCs w:val="22"/>
          <w:color w:val="auto"/>
        </w:rPr>
      </w:pPr>
      <w:r>
        <w:rPr>
          <w:rFonts w:ascii="Arial" w:cs="Arial" w:eastAsia="Arial" w:hAnsi="Arial"/>
          <w:sz w:val="19"/>
          <w:szCs w:val="19"/>
          <w:color w:val="auto"/>
        </w:rPr>
        <w:t>1.9 “</w:t>
      </w:r>
      <w:r>
        <w:rPr>
          <w:rFonts w:ascii="Arial" w:cs="Arial" w:eastAsia="Arial" w:hAnsi="Arial"/>
          <w:sz w:val="19"/>
          <w:szCs w:val="19"/>
          <w:u w:val="single" w:color="auto"/>
          <w:color w:val="auto"/>
        </w:rPr>
        <w:t>Current Annual Bonus</w:t>
      </w:r>
      <w:r>
        <w:rPr>
          <w:rFonts w:ascii="Arial" w:cs="Arial" w:eastAsia="Arial" w:hAnsi="Arial"/>
          <w:sz w:val="19"/>
          <w:szCs w:val="19"/>
          <w:color w:val="auto"/>
        </w:rPr>
        <w:t>” means the Executive’s target annual bonus for the calendar year with the Date of Termination, prorated on a daily basis from the beginning of the calendar year to the Date of Termination.</w:t>
      </w:r>
    </w:p>
    <w:p>
      <w:pPr>
        <w:spacing w:after="0" w:line="104" w:lineRule="exact"/>
        <w:rPr>
          <w:rFonts w:ascii="Arial" w:cs="Arial" w:eastAsia="Arial" w:hAnsi="Arial"/>
          <w:sz w:val="22"/>
          <w:szCs w:val="22"/>
          <w:color w:val="auto"/>
        </w:rPr>
      </w:pPr>
    </w:p>
    <w:p>
      <w:pPr>
        <w:ind w:left="660" w:right="60"/>
        <w:spacing w:after="0" w:line="263" w:lineRule="auto"/>
        <w:rPr>
          <w:rFonts w:ascii="Arial" w:cs="Arial" w:eastAsia="Arial" w:hAnsi="Arial"/>
          <w:sz w:val="22"/>
          <w:szCs w:val="22"/>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the effective date of the termination of the Executive’s employment with the Company and its subsidiaries (as set forth in the Notice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369" w:right="259" w:bottom="1440" w:gutter="0" w:footer="0" w:header="0"/>
        </w:sectPr>
      </w:pPr>
    </w:p>
    <w:bookmarkStart w:id="97" w:name="page98"/>
    <w:bookmarkEnd w:id="97"/>
    <w:p>
      <w:pPr>
        <w:ind w:right="220"/>
        <w:spacing w:after="0" w:line="263" w:lineRule="auto"/>
        <w:rPr>
          <w:sz w:val="20"/>
          <w:szCs w:val="20"/>
          <w:color w:val="auto"/>
        </w:rPr>
      </w:pPr>
      <w:r>
        <w:rPr>
          <w:rFonts w:ascii="Arial" w:cs="Arial" w:eastAsia="Arial" w:hAnsi="Arial"/>
          <w:sz w:val="22"/>
          <w:szCs w:val="22"/>
          <w:color w:val="auto"/>
        </w:rPr>
        <w:t>of Termination, if applicable) and interpreted consistently as a “separation from service” under Section 409A of the Code (“</w:t>
      </w: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175"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u w:val="single" w:color="auto"/>
          <w:color w:val="auto"/>
        </w:rPr>
        <w:t>Disability</w:t>
      </w:r>
      <w:r>
        <w:rPr>
          <w:rFonts w:ascii="Arial" w:cs="Arial" w:eastAsia="Arial" w:hAnsi="Arial"/>
          <w:sz w:val="22"/>
          <w:szCs w:val="22"/>
          <w:color w:val="auto"/>
        </w:rPr>
        <w:t>” means the Executive’s inability to perform the primary duties of Executive’s position for at least 180 consecutive days due to a physical or mental impairment and confirmed by a medical examination to the Company’s satisfaction.</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u w:val="single" w:color="auto"/>
          <w:color w:val="auto"/>
        </w:rPr>
        <w:t>Good Reason</w:t>
      </w:r>
      <w:r>
        <w:rPr>
          <w:rFonts w:ascii="Arial" w:cs="Arial" w:eastAsia="Arial" w:hAnsi="Arial"/>
          <w:sz w:val="19"/>
          <w:szCs w:val="19"/>
          <w:color w:val="auto"/>
        </w:rPr>
        <w:t>” means (i) the assignment to the Executive of any duties materially inconsistent with the Executive’s position, authority, duties or responsibilities as of the date hereof or as of the date immediately preceding a Change in Control, if applicable, or any other action by the Company that results in a material diminution in such position, authority, duties or responsibilities; (ii) a decrease in the Executive’s Base Salary or significant decrease in annual or long term bonus opportunity; (iii) a material reduction in any material benefits or other compensation provided to the Executive; (iv) the Company requiring the Executive to be based at any office or location outside the Houston metropolitan area; (v) the Company’s material failure to comply with its obligations under this Agreement; or (vi) the Company giving Notice (as defined in Section 2.1 (i)). For purposes of any determination regarding the existence of Good Reason during the Change in Control Period, any good faith determination by the Executive that Good Reason exists shall be presumed to be correct unless the Company establishes by clear and convincing evidence that Good Reason does not exist.</w:t>
      </w:r>
    </w:p>
    <w:p>
      <w:pPr>
        <w:spacing w:after="0" w:line="160"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u w:val="single" w:color="auto"/>
          <w:color w:val="auto"/>
        </w:rPr>
        <w:t>Non-Qualifying Termination</w:t>
      </w:r>
      <w:r>
        <w:rPr>
          <w:rFonts w:ascii="Arial" w:cs="Arial" w:eastAsia="Arial" w:hAnsi="Arial"/>
          <w:sz w:val="22"/>
          <w:szCs w:val="22"/>
          <w:color w:val="auto"/>
        </w:rPr>
        <w:t>” means any termination of the Executive’s employment with the Company and its subsidiaries other than a Qualifying Termination.</w:t>
      </w:r>
    </w:p>
    <w:p>
      <w:pPr>
        <w:spacing w:after="0" w:line="175"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1.14 “</w:t>
      </w:r>
      <w:r>
        <w:rPr>
          <w:rFonts w:ascii="Arial" w:cs="Arial" w:eastAsia="Arial" w:hAnsi="Arial"/>
          <w:sz w:val="19"/>
          <w:szCs w:val="19"/>
          <w:u w:val="single" w:color="auto"/>
          <w:color w:val="auto"/>
        </w:rPr>
        <w:t>Normal Option Expiration Date</w:t>
      </w:r>
      <w:r>
        <w:rPr>
          <w:rFonts w:ascii="Arial" w:cs="Arial" w:eastAsia="Arial" w:hAnsi="Arial"/>
          <w:sz w:val="19"/>
          <w:szCs w:val="19"/>
          <w:color w:val="auto"/>
        </w:rPr>
        <w:t>” means the normal expiration of each of the Stock Options without taking into account any accelerated expiration date provisions relating to termination of employment, board membership or otherwise.</w:t>
      </w:r>
    </w:p>
    <w:p>
      <w:pPr>
        <w:spacing w:after="0" w:line="105"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1.15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means a written notice of the termination of the Executive’s employment that (i) indicates the specific termination provision in this Agreement relied upon, (ii) sets forth in reasonable detail, if applicable, the facts and circumstances claimed to provide a basis for termination of the Executive’s employment under the provision so indicated and (iii) if the Date of Termination is other than the date of receipt of such notice, specifies the termination date. The failure by the Executive to set forth in the Notice of Termination any fact or circumstance that contributes to a showing of Good Reason shall not waive any right of the Executive hereunder or preclude the Executive from asserting such fact or circumstance in enforcing the Executive’s rights hereunder.</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u w:val="single" w:color="auto"/>
          <w:color w:val="auto"/>
        </w:rPr>
        <w:t>Performance Awards</w:t>
      </w:r>
      <w:r>
        <w:rPr>
          <w:rFonts w:ascii="Arial" w:cs="Arial" w:eastAsia="Arial" w:hAnsi="Arial"/>
          <w:sz w:val="22"/>
          <w:szCs w:val="22"/>
          <w:color w:val="auto"/>
        </w:rPr>
        <w:t>” means any Stock Options or Restricted Stock Awards granted to Executive with a stock price performance or other performance requirement for vesting that has not been satisfied as of the Date of Termination; provided, that employment by the Executive is not a performance requirement.</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plan, program, practice, arrangement or policy.</w:t>
      </w:r>
    </w:p>
    <w:p>
      <w:pPr>
        <w:spacing w:after="0" w:line="200" w:lineRule="exact"/>
        <w:rPr>
          <w:sz w:val="20"/>
          <w:szCs w:val="20"/>
          <w:color w:val="auto"/>
        </w:rPr>
      </w:pPr>
    </w:p>
    <w:p>
      <w:pPr>
        <w:spacing w:after="0" w:line="26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00"/>
          </w:cols>
          <w:pgMar w:left="900" w:top="375" w:right="299" w:bottom="1440" w:gutter="0" w:footer="0" w:header="0"/>
        </w:sectPr>
      </w:pPr>
    </w:p>
    <w:bookmarkStart w:id="98" w:name="page99"/>
    <w:bookmarkEnd w:id="98"/>
    <w:p>
      <w:pPr>
        <w:jc w:val="both"/>
        <w:ind w:left="652"/>
        <w:spacing w:after="0" w:line="288"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u w:val="single" w:color="auto"/>
          <w:color w:val="auto"/>
        </w:rPr>
        <w:t>Plan Economic Equivalent</w:t>
      </w:r>
      <w:r>
        <w:rPr>
          <w:rFonts w:ascii="Arial" w:cs="Arial" w:eastAsia="Arial" w:hAnsi="Arial"/>
          <w:sz w:val="19"/>
          <w:szCs w:val="19"/>
          <w:color w:val="auto"/>
        </w:rPr>
        <w:t>” means (i) the costs of a reasonable comparable substitute Plan selected by the Executive and Company for any Plan which does not permit the Executive’s continued participation after the Date of Termination plus a gross up amount for any increases in net income taxes to the Executive relating to such provision of a substitute Plan or</w:t>
      </w:r>
    </w:p>
    <w:p>
      <w:pPr>
        <w:spacing w:after="0" w:line="1" w:lineRule="exact"/>
        <w:rPr>
          <w:sz w:val="20"/>
          <w:szCs w:val="20"/>
          <w:color w:val="auto"/>
        </w:rPr>
      </w:pPr>
    </w:p>
    <w:p>
      <w:pPr>
        <w:ind w:left="652" w:right="200" w:hanging="4"/>
        <w:spacing w:after="0" w:line="302" w:lineRule="auto"/>
        <w:tabs>
          <w:tab w:leader="none" w:pos="97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Executive becomes covered by another benefit Plan, the Company’s incremental costs savings of not providing such benefits to the Executive, commencing 30 days after written notice from Executive to terminate such benefits plus any additional reasonable Plan or benefit notice or termination period the Company reasonably needs to receive costs savings.</w:t>
      </w:r>
    </w:p>
    <w:p>
      <w:pPr>
        <w:spacing w:after="0" w:line="143" w:lineRule="exact"/>
        <w:rPr>
          <w:sz w:val="20"/>
          <w:szCs w:val="20"/>
          <w:color w:val="auto"/>
        </w:rPr>
      </w:pPr>
    </w:p>
    <w:p>
      <w:pPr>
        <w:ind w:left="652" w:right="120"/>
        <w:spacing w:after="0" w:line="343" w:lineRule="auto"/>
        <w:rPr>
          <w:sz w:val="20"/>
          <w:szCs w:val="20"/>
          <w:color w:val="auto"/>
        </w:rPr>
      </w:pPr>
      <w:r>
        <w:rPr>
          <w:rFonts w:ascii="Arial" w:cs="Arial" w:eastAsia="Arial" w:hAnsi="Arial"/>
          <w:sz w:val="19"/>
          <w:szCs w:val="19"/>
          <w:color w:val="auto"/>
        </w:rPr>
        <w:t>1.19 “</w:t>
      </w:r>
      <w:r>
        <w:rPr>
          <w:rFonts w:ascii="Arial" w:cs="Arial" w:eastAsia="Arial" w:hAnsi="Arial"/>
          <w:sz w:val="19"/>
          <w:szCs w:val="19"/>
          <w:u w:val="single" w:color="auto"/>
          <w:color w:val="auto"/>
        </w:rPr>
        <w:t>Prior Year Bonus</w:t>
      </w:r>
      <w:r>
        <w:rPr>
          <w:rFonts w:ascii="Arial" w:cs="Arial" w:eastAsia="Arial" w:hAnsi="Arial"/>
          <w:sz w:val="19"/>
          <w:szCs w:val="19"/>
          <w:color w:val="auto"/>
        </w:rPr>
        <w:t>” means the unpaid annual incentive bonus for the year prior to the Date of Termination, if any, determined in accordance with the Company’s incentive or annual bonus plan for the year prior to the Date of Termination.</w:t>
      </w:r>
    </w:p>
    <w:p>
      <w:pPr>
        <w:spacing w:after="0" w:line="105" w:lineRule="exact"/>
        <w:rPr>
          <w:sz w:val="20"/>
          <w:szCs w:val="20"/>
          <w:color w:val="auto"/>
        </w:rPr>
      </w:pPr>
    </w:p>
    <w:p>
      <w:pPr>
        <w:ind w:left="652" w:right="60"/>
        <w:spacing w:after="0" w:line="297" w:lineRule="auto"/>
        <w:rPr>
          <w:sz w:val="20"/>
          <w:szCs w:val="20"/>
          <w:color w:val="auto"/>
        </w:rPr>
      </w:pPr>
      <w:r>
        <w:rPr>
          <w:rFonts w:ascii="Arial" w:cs="Arial" w:eastAsia="Arial" w:hAnsi="Arial"/>
          <w:sz w:val="19"/>
          <w:szCs w:val="19"/>
          <w:color w:val="auto"/>
        </w:rPr>
        <w:t>1.20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means (i) the Company’s termination of the Executive’s employment with the Company for any reason other than for Cause or Disability or death or (ii) the Executive’s termination of employment with the Company within 60 days of the date upon which the Executive has knowledge of the occurrence of an event that constitutes Good Reason. A transfer of the Executive to any subsidiary of the Company shall not, in and of itself, be considered a termination of employment hereunder as long as Good Reason does not otherwise exist.</w:t>
      </w:r>
    </w:p>
    <w:p>
      <w:pPr>
        <w:spacing w:after="0" w:line="147" w:lineRule="exact"/>
        <w:rPr>
          <w:sz w:val="20"/>
          <w:szCs w:val="20"/>
          <w:color w:val="auto"/>
        </w:rPr>
      </w:pPr>
    </w:p>
    <w:p>
      <w:pPr>
        <w:ind w:left="652" w:right="240"/>
        <w:spacing w:after="0" w:line="253"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u w:val="single" w:color="auto"/>
          <w:color w:val="auto"/>
        </w:rPr>
        <w:t>Restricted Stock Awards</w:t>
      </w:r>
      <w:r>
        <w:rPr>
          <w:rFonts w:ascii="Arial" w:cs="Arial" w:eastAsia="Arial" w:hAnsi="Arial"/>
          <w:sz w:val="22"/>
          <w:szCs w:val="22"/>
          <w:color w:val="auto"/>
        </w:rPr>
        <w:t>” means restricted stock awards, restricted stock units, phantom stock awards and other similar equity-based incentive compensation awards granted to the Executive relating to stock of the Company; provided, such awards exclude Stock Options.</w:t>
      </w:r>
    </w:p>
    <w:p>
      <w:pPr>
        <w:spacing w:after="0" w:line="186" w:lineRule="exact"/>
        <w:rPr>
          <w:sz w:val="20"/>
          <w:szCs w:val="20"/>
          <w:color w:val="auto"/>
        </w:rPr>
      </w:pPr>
    </w:p>
    <w:p>
      <w:pPr>
        <w:ind w:left="652"/>
        <w:spacing w:after="0"/>
        <w:tabs>
          <w:tab w:leader="none" w:pos="1232"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Stock Options</w:t>
      </w:r>
      <w:r>
        <w:rPr>
          <w:rFonts w:ascii="Arial" w:cs="Arial" w:eastAsia="Arial" w:hAnsi="Arial"/>
          <w:sz w:val="19"/>
          <w:szCs w:val="19"/>
          <w:color w:val="auto"/>
        </w:rPr>
        <w:t>” means stock options granted to the Executive to acquire stock of the Company.</w:t>
      </w:r>
    </w:p>
    <w:p>
      <w:pPr>
        <w:spacing w:after="0" w:line="220" w:lineRule="exact"/>
        <w:rPr>
          <w:sz w:val="20"/>
          <w:szCs w:val="20"/>
          <w:color w:val="auto"/>
        </w:rPr>
      </w:pPr>
    </w:p>
    <w:p>
      <w:pPr>
        <w:ind w:left="652" w:right="140"/>
        <w:spacing w:after="0" w:line="263"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u w:val="single" w:color="auto"/>
          <w:color w:val="auto"/>
        </w:rPr>
        <w:t>Target</w:t>
      </w:r>
      <w:r>
        <w:rPr>
          <w:rFonts w:ascii="Arial" w:cs="Arial" w:eastAsia="Arial" w:hAnsi="Arial"/>
          <w:sz w:val="22"/>
          <w:szCs w:val="22"/>
          <w:color w:val="auto"/>
        </w:rPr>
        <w:t>” means as to any Performance Awards the greater of (i) 50% or (ii) the target percentage or amount for such Performance Awards.</w:t>
      </w:r>
    </w:p>
    <w:p>
      <w:pPr>
        <w:spacing w:after="0" w:line="175" w:lineRule="exact"/>
        <w:rPr>
          <w:sz w:val="20"/>
          <w:szCs w:val="20"/>
          <w:color w:val="auto"/>
        </w:rPr>
      </w:pPr>
    </w:p>
    <w:p>
      <w:pPr>
        <w:ind w:left="652"/>
        <w:spacing w:after="0"/>
        <w:tabs>
          <w:tab w:leader="none" w:pos="1232"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Other Terms</w:t>
      </w:r>
      <w:r>
        <w:rPr>
          <w:rFonts w:ascii="Arial" w:cs="Arial" w:eastAsia="Arial" w:hAnsi="Arial"/>
          <w:sz w:val="19"/>
          <w:szCs w:val="19"/>
          <w:color w:val="auto"/>
        </w:rPr>
        <w:t>. Other capitalized terms shall have the meaning indicated within this Agreement.</w:t>
      </w:r>
    </w:p>
    <w:p>
      <w:pPr>
        <w:spacing w:after="0" w:line="220" w:lineRule="exact"/>
        <w:rPr>
          <w:sz w:val="20"/>
          <w:szCs w:val="20"/>
          <w:color w:val="auto"/>
        </w:rPr>
      </w:pPr>
    </w:p>
    <w:p>
      <w:pPr>
        <w:ind w:left="652" w:hanging="652"/>
        <w:spacing w:after="0"/>
        <w:tabs>
          <w:tab w:leader="none" w:pos="65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TERM AND POSITION</w:t>
      </w:r>
    </w:p>
    <w:p>
      <w:pPr>
        <w:spacing w:after="0" w:line="219" w:lineRule="exact"/>
        <w:rPr>
          <w:rFonts w:ascii="Arial" w:cs="Arial" w:eastAsia="Arial" w:hAnsi="Arial"/>
          <w:sz w:val="22"/>
          <w:szCs w:val="22"/>
          <w:color w:val="auto"/>
        </w:rPr>
      </w:pPr>
    </w:p>
    <w:p>
      <w:pPr>
        <w:ind w:left="652" w:right="280"/>
        <w:spacing w:after="0" w:line="294" w:lineRule="auto"/>
        <w:rPr>
          <w:rFonts w:ascii="Arial" w:cs="Arial" w:eastAsia="Arial" w:hAnsi="Arial"/>
          <w:sz w:val="22"/>
          <w:szCs w:val="22"/>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Term</w:t>
      </w:r>
      <w:r>
        <w:rPr>
          <w:rFonts w:ascii="Arial" w:cs="Arial" w:eastAsia="Arial" w:hAnsi="Arial"/>
          <w:sz w:val="19"/>
          <w:szCs w:val="19"/>
          <w:color w:val="auto"/>
        </w:rPr>
        <w:t>. This Agreement is effective as of the Commencement Date and terminates on the fifth anniversary of the Commencement Date (the “Term”); provided that, (i) beginning on the fifth anniversary of the Commencement Date and each anniversary thereafter (each, an “</w:t>
      </w:r>
      <w:r>
        <w:rPr>
          <w:rFonts w:ascii="Arial" w:cs="Arial" w:eastAsia="Arial" w:hAnsi="Arial"/>
          <w:sz w:val="19"/>
          <w:szCs w:val="19"/>
          <w:u w:val="single" w:color="auto"/>
          <w:color w:val="auto"/>
        </w:rPr>
        <w:t>Anniversary Date</w:t>
      </w:r>
      <w:r>
        <w:rPr>
          <w:rFonts w:ascii="Arial" w:cs="Arial" w:eastAsia="Arial" w:hAnsi="Arial"/>
          <w:sz w:val="19"/>
          <w:szCs w:val="19"/>
          <w:color w:val="auto"/>
        </w:rPr>
        <w:t>”) the Term shall be extended by 12 months unless either party provides notice (the “</w:t>
      </w:r>
      <w:r>
        <w:rPr>
          <w:rFonts w:ascii="Arial" w:cs="Arial" w:eastAsia="Arial" w:hAnsi="Arial"/>
          <w:sz w:val="19"/>
          <w:szCs w:val="19"/>
          <w:u w:val="single" w:color="auto"/>
          <w:color w:val="auto"/>
        </w:rPr>
        <w:t>Notice</w:t>
      </w:r>
      <w:r>
        <w:rPr>
          <w:rFonts w:ascii="Arial" w:cs="Arial" w:eastAsia="Arial" w:hAnsi="Arial"/>
          <w:sz w:val="19"/>
          <w:szCs w:val="19"/>
          <w:color w:val="auto"/>
        </w:rPr>
        <w:t>”) at least 60 days before any such Anniversary Date of his or its intent to terminate this Agreement as of such Anniversary Date, and (ii) if a Change in Control occurs during the Term, this Agreement shall not expire until the later of (a) the expiration of the Term or (b) the end of the Change in Control Period.</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375" w:right="239" w:bottom="1440" w:gutter="0" w:footer="0" w:header="0"/>
        </w:sectPr>
      </w:pPr>
    </w:p>
    <w:bookmarkStart w:id="99" w:name="page100"/>
    <w:bookmarkEnd w:id="99"/>
    <w:p>
      <w:pPr>
        <w:ind w:left="652"/>
        <w:spacing w:after="0"/>
        <w:tabs>
          <w:tab w:leader="none" w:pos="1112"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Position</w:t>
      </w:r>
      <w:r>
        <w:rPr>
          <w:rFonts w:ascii="Arial" w:cs="Arial" w:eastAsia="Arial" w:hAnsi="Arial"/>
          <w:sz w:val="19"/>
          <w:szCs w:val="19"/>
          <w:color w:val="auto"/>
        </w:rPr>
        <w:t>. During the Term, the Executive shall serve as __________________, or such other position agreed to in</w:t>
      </w:r>
    </w:p>
    <w:p>
      <w:pPr>
        <w:spacing w:after="0" w:line="2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writing by the Company and Executive.</w:t>
      </w:r>
    </w:p>
    <w:p>
      <w:pPr>
        <w:spacing w:after="0" w:line="202" w:lineRule="exact"/>
        <w:rPr>
          <w:sz w:val="20"/>
          <w:szCs w:val="20"/>
          <w:color w:val="auto"/>
        </w:rPr>
      </w:pPr>
    </w:p>
    <w:p>
      <w:pPr>
        <w:ind w:left="652" w:right="7320" w:hanging="652"/>
        <w:spacing w:after="0" w:line="469" w:lineRule="auto"/>
        <w:tabs>
          <w:tab w:leader="none" w:pos="65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TERMINATION OF EMPLOYMENT 3.1 </w:t>
      </w:r>
      <w:r>
        <w:rPr>
          <w:rFonts w:ascii="Arial" w:cs="Arial" w:eastAsia="Arial" w:hAnsi="Arial"/>
          <w:sz w:val="21"/>
          <w:szCs w:val="21"/>
          <w:u w:val="single" w:color="auto"/>
          <w:color w:val="auto"/>
        </w:rPr>
        <w:t>Termination by the Executive</w:t>
      </w:r>
      <w:r>
        <w:rPr>
          <w:rFonts w:ascii="Arial" w:cs="Arial" w:eastAsia="Arial" w:hAnsi="Arial"/>
          <w:sz w:val="21"/>
          <w:szCs w:val="21"/>
          <w:color w:val="auto"/>
        </w:rPr>
        <w:t>.</w:t>
      </w:r>
    </w:p>
    <w:p>
      <w:pPr>
        <w:spacing w:after="0" w:line="1" w:lineRule="exact"/>
        <w:rPr>
          <w:rFonts w:ascii="Arial" w:cs="Arial" w:eastAsia="Arial" w:hAnsi="Arial"/>
          <w:sz w:val="21"/>
          <w:szCs w:val="21"/>
          <w:color w:val="auto"/>
        </w:rPr>
      </w:pPr>
    </w:p>
    <w:p>
      <w:pPr>
        <w:ind w:left="1292" w:right="80" w:firstLine="5"/>
        <w:spacing w:after="0" w:line="297" w:lineRule="auto"/>
        <w:tabs>
          <w:tab w:leader="none" w:pos="1748"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Termination for Good Reason</w:t>
      </w:r>
      <w:r>
        <w:rPr>
          <w:rFonts w:ascii="Arial" w:cs="Arial" w:eastAsia="Arial" w:hAnsi="Arial"/>
          <w:sz w:val="19"/>
          <w:szCs w:val="19"/>
          <w:color w:val="auto"/>
        </w:rPr>
        <w:t>. The Executive may terminate Executive’s employment during the Term for Good Reason by delivering a Notice of Termination to the Company in accordance with Section 6.8 within 60 days of the date upon which the Executive has knowledge of the occurrence of the event purported to constitute “Good Reason” hereunder. The Company shall have 30 days from the date of the Executive’s Notice of Termination for Good Reason to the Company to cure the Executive’s right to termination for Good Reason.</w:t>
      </w:r>
    </w:p>
    <w:p>
      <w:pPr>
        <w:spacing w:after="0" w:line="147" w:lineRule="exact"/>
        <w:rPr>
          <w:rFonts w:ascii="Arial" w:cs="Arial" w:eastAsia="Arial" w:hAnsi="Arial"/>
          <w:sz w:val="19"/>
          <w:szCs w:val="19"/>
          <w:color w:val="auto"/>
        </w:rPr>
      </w:pPr>
    </w:p>
    <w:p>
      <w:pPr>
        <w:ind w:left="1292" w:right="20" w:firstLine="5"/>
        <w:spacing w:after="0" w:line="253" w:lineRule="auto"/>
        <w:tabs>
          <w:tab w:leader="none" w:pos="1760"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Termination Without Good Reason</w:t>
      </w:r>
      <w:r>
        <w:rPr>
          <w:rFonts w:ascii="Arial" w:cs="Arial" w:eastAsia="Arial" w:hAnsi="Arial"/>
          <w:sz w:val="22"/>
          <w:szCs w:val="22"/>
          <w:color w:val="auto"/>
        </w:rPr>
        <w:t>. The Executive may terminate Executive’s employment during the Term without Good Reason by delivering a Notice of Termination to the Company in accordance with Section 6.8 at least 15 days prior to the effective date of such termination.</w:t>
      </w:r>
    </w:p>
    <w:p>
      <w:pPr>
        <w:spacing w:after="0" w:line="186"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Termination by the Company</w:t>
      </w:r>
      <w:r>
        <w:rPr>
          <w:rFonts w:ascii="Arial" w:cs="Arial" w:eastAsia="Arial" w:hAnsi="Arial"/>
          <w:sz w:val="19"/>
          <w:szCs w:val="19"/>
          <w:color w:val="auto"/>
        </w:rPr>
        <w:t>.</w:t>
      </w:r>
    </w:p>
    <w:p>
      <w:pPr>
        <w:spacing w:after="0" w:line="220" w:lineRule="exact"/>
        <w:rPr>
          <w:sz w:val="20"/>
          <w:szCs w:val="20"/>
          <w:color w:val="auto"/>
        </w:rPr>
      </w:pPr>
    </w:p>
    <w:p>
      <w:pPr>
        <w:ind w:left="1292" w:firstLine="5"/>
        <w:spacing w:after="0" w:line="292" w:lineRule="auto"/>
        <w:tabs>
          <w:tab w:leader="none" w:pos="174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The Company may terminate the Executive’s employment during the Term for Cause by delivering to the Executive in accordance with Section 6.8 a Notice of Termination and a copy of a resolution, duly adopted by the affirmative vote of not less than a majority of the entire membership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including at least 66-2/3% of those members of the Board who are not employees of the Company at a meeting of the Board called and held for the purpose (after reasonable notice to the Executive and an opportunity for Executive, together with counsel, to be heard before the Board), finding that in the good faith opinion of the Board, the Executive was guilty of conduct specified in the definition of “Cause”.</w:t>
      </w:r>
    </w:p>
    <w:p>
      <w:pPr>
        <w:spacing w:after="0" w:line="151" w:lineRule="exact"/>
        <w:rPr>
          <w:rFonts w:ascii="Arial" w:cs="Arial" w:eastAsia="Arial" w:hAnsi="Arial"/>
          <w:sz w:val="19"/>
          <w:szCs w:val="19"/>
          <w:color w:val="auto"/>
        </w:rPr>
      </w:pPr>
    </w:p>
    <w:p>
      <w:pPr>
        <w:ind w:left="1292" w:right="580" w:firstLine="5"/>
        <w:spacing w:after="0" w:line="343" w:lineRule="auto"/>
        <w:tabs>
          <w:tab w:leader="none" w:pos="176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The Company may terminate the Executive’s employment during the Term without Cause by delivering a Notice of Termination to the Executive in accordance with Section 6.8.</w:t>
      </w:r>
    </w:p>
    <w:p>
      <w:pPr>
        <w:spacing w:after="0" w:line="105" w:lineRule="exact"/>
        <w:rPr>
          <w:sz w:val="20"/>
          <w:szCs w:val="20"/>
          <w:color w:val="auto"/>
        </w:rPr>
      </w:pPr>
    </w:p>
    <w:p>
      <w:pPr>
        <w:ind w:left="652" w:right="20"/>
        <w:spacing w:after="0" w:line="29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Death or Disability</w:t>
      </w:r>
      <w:r>
        <w:rPr>
          <w:rFonts w:ascii="Arial" w:cs="Arial" w:eastAsia="Arial" w:hAnsi="Arial"/>
          <w:sz w:val="19"/>
          <w:szCs w:val="19"/>
          <w:color w:val="auto"/>
        </w:rPr>
        <w:t>. The Executive’s employment shall terminate automatically upon the Executive’s death during the Term. If the Company determines in good faith that the Disability of the Executive has occurred during the Term, it may give to the Executive a Notice of Termination in accordance with Section 6.8 of this Agreement. In such event, the Executive’s employment shall terminate effective on the 30th day after receipt of such notice, provided that within the 30 days after such receipt, the Executive shall not have returned to full-time performance of the Executive’s duties.</w:t>
      </w:r>
    </w:p>
    <w:p>
      <w:pPr>
        <w:spacing w:after="0" w:line="390"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32"/>
          </w:cols>
          <w:pgMar w:left="248" w:top="375" w:right="319" w:bottom="1440" w:gutter="0" w:footer="0" w:header="0"/>
        </w:sectPr>
      </w:pPr>
    </w:p>
    <w:bookmarkStart w:id="100" w:name="page101"/>
    <w:bookmarkEnd w:id="100"/>
    <w:p>
      <w:pPr>
        <w:spacing w:after="0"/>
        <w:tabs>
          <w:tab w:leader="none" w:pos="64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color w:val="auto"/>
        </w:rPr>
        <w:t>BENEFITS UPON TERMINATION</w:t>
      </w:r>
    </w:p>
    <w:p>
      <w:pPr>
        <w:spacing w:after="0" w:line="220" w:lineRule="exact"/>
        <w:rPr>
          <w:sz w:val="20"/>
          <w:szCs w:val="20"/>
          <w:color w:val="auto"/>
        </w:rPr>
      </w:pPr>
    </w:p>
    <w:p>
      <w:pPr>
        <w:ind w:left="660"/>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Qualifying Termination Not Within the Change in Control Period</w:t>
      </w:r>
      <w:r>
        <w:rPr>
          <w:rFonts w:ascii="Arial" w:cs="Arial" w:eastAsia="Arial" w:hAnsi="Arial"/>
          <w:sz w:val="22"/>
          <w:szCs w:val="22"/>
          <w:color w:val="auto"/>
        </w:rPr>
        <w:t>. If, during the Term, the Executive’s employment with the Company and its subsidiaries is terminated in a Qualifying Termination and such termination does not occur during a Change in Control Period:</w:t>
      </w:r>
    </w:p>
    <w:p>
      <w:pPr>
        <w:spacing w:after="0" w:line="186" w:lineRule="exact"/>
        <w:rPr>
          <w:sz w:val="20"/>
          <w:szCs w:val="20"/>
          <w:color w:val="auto"/>
        </w:rPr>
      </w:pPr>
    </w:p>
    <w:p>
      <w:pPr>
        <w:jc w:val="both"/>
        <w:ind w:left="1300" w:right="180" w:firstLine="5"/>
        <w:spacing w:after="0" w:line="253" w:lineRule="auto"/>
        <w:tabs>
          <w:tab w:leader="none" w:pos="175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Company shall pay to the Executive in a cash lump sum within 30 days after the Date of Termination, the sum of (i) all Accrued Obligations and (ii) the product of one (1) times the sum of the Executive’s Base Salary and Annual Bonus;</w:t>
      </w:r>
    </w:p>
    <w:p>
      <w:pPr>
        <w:spacing w:after="0" w:line="185" w:lineRule="exact"/>
        <w:rPr>
          <w:rFonts w:ascii="Arial" w:cs="Arial" w:eastAsia="Arial" w:hAnsi="Arial"/>
          <w:sz w:val="22"/>
          <w:szCs w:val="22"/>
          <w:color w:val="auto"/>
        </w:rPr>
      </w:pPr>
    </w:p>
    <w:p>
      <w:pPr>
        <w:ind w:left="1300" w:right="20" w:firstLine="5"/>
        <w:spacing w:after="0" w:line="246" w:lineRule="auto"/>
        <w:tabs>
          <w:tab w:leader="none" w:pos="176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for one (1) year following the Date of Termination, or such longer period as each Plan may provide, the Company shall continue medical, dental, and vision benefits to the Executive and the Executive’s family at a level at least equal to those that would have been provided if the Executive’s employment had not been terminated under such Plan of the Company applicable to the Executive as of the Date of Termination (with payment of the Plan Economic Equivalent as to each Plan (i) that does not permit the Executive’s continued participation or (ii) that the Executive becomes covered under another Plan with similar or comparable benefits (after 30 days notice to the Company));</w:t>
      </w:r>
    </w:p>
    <w:p>
      <w:pPr>
        <w:spacing w:after="0" w:line="197" w:lineRule="exact"/>
        <w:rPr>
          <w:rFonts w:ascii="Arial" w:cs="Arial" w:eastAsia="Arial" w:hAnsi="Arial"/>
          <w:sz w:val="22"/>
          <w:szCs w:val="22"/>
          <w:color w:val="auto"/>
        </w:rPr>
      </w:pPr>
    </w:p>
    <w:p>
      <w:pPr>
        <w:ind w:left="1300" w:right="80" w:firstLine="5"/>
        <w:spacing w:after="0" w:line="294" w:lineRule="auto"/>
        <w:tabs>
          <w:tab w:leader="none" w:pos="175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all Stock Options held by the Executive shall become immediately vested and exercisable, and all Restricted Stock Awards held by the Executive shall continue to vest as if the Executive was an employee of the Company for the two (2) year period after the Date of Termination (“</w:t>
      </w:r>
      <w:r>
        <w:rPr>
          <w:rFonts w:ascii="Arial" w:cs="Arial" w:eastAsia="Arial" w:hAnsi="Arial"/>
          <w:sz w:val="19"/>
          <w:szCs w:val="19"/>
          <w:u w:val="single" w:color="auto"/>
          <w:color w:val="auto"/>
        </w:rPr>
        <w:t>Vesting Period</w:t>
      </w:r>
      <w:r>
        <w:rPr>
          <w:rFonts w:ascii="Arial" w:cs="Arial" w:eastAsia="Arial" w:hAnsi="Arial"/>
          <w:sz w:val="19"/>
          <w:szCs w:val="19"/>
          <w:color w:val="auto"/>
        </w:rPr>
        <w:t>”)</w:t>
      </w:r>
      <w:r>
        <w:rPr>
          <w:rFonts w:ascii="Arial" w:cs="Arial" w:eastAsia="Arial" w:hAnsi="Arial"/>
          <w:sz w:val="19"/>
          <w:szCs w:val="19"/>
          <w:u w:val="single" w:color="auto"/>
          <w:color w:val="auto"/>
        </w:rPr>
        <w:t>;</w:t>
      </w:r>
      <w:r>
        <w:rPr>
          <w:rFonts w:ascii="Arial" w:cs="Arial" w:eastAsia="Arial" w:hAnsi="Arial"/>
          <w:sz w:val="19"/>
          <w:szCs w:val="19"/>
          <w:color w:val="auto"/>
        </w:rPr>
        <w:t xml:space="preserve"> provided, however, that for purposes of determining the Vesting Period with respect to Restricted Stock Awards granted to Executive in connection with the commencement of Executive’s employment with the Company, the Executive shall continue to vest as if the Executive was an employee of the Company until such Restricted Stock Awards are fully vested;</w:t>
      </w:r>
    </w:p>
    <w:p>
      <w:pPr>
        <w:spacing w:after="0" w:line="149" w:lineRule="exact"/>
        <w:rPr>
          <w:rFonts w:ascii="Arial" w:cs="Arial" w:eastAsia="Arial" w:hAnsi="Arial"/>
          <w:sz w:val="19"/>
          <w:szCs w:val="19"/>
          <w:color w:val="auto"/>
        </w:rPr>
      </w:pPr>
    </w:p>
    <w:p>
      <w:pPr>
        <w:ind w:left="1300" w:right="660" w:firstLine="5"/>
        <w:spacing w:after="0" w:line="253" w:lineRule="auto"/>
        <w:tabs>
          <w:tab w:leader="none" w:pos="176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Company shall pay the Executive the Current Annual Bonus when and if (taking into account the performance conditions) annual bonuses for the year of termination are paid to other executive officers of the Company;</w:t>
      </w:r>
    </w:p>
    <w:p>
      <w:pPr>
        <w:spacing w:after="0" w:line="185" w:lineRule="exact"/>
        <w:rPr>
          <w:rFonts w:ascii="Arial" w:cs="Arial" w:eastAsia="Arial" w:hAnsi="Arial"/>
          <w:sz w:val="22"/>
          <w:szCs w:val="22"/>
          <w:color w:val="auto"/>
        </w:rPr>
      </w:pPr>
    </w:p>
    <w:p>
      <w:pPr>
        <w:ind w:left="1300" w:right="160" w:firstLine="5"/>
        <w:spacing w:after="0" w:line="250" w:lineRule="auto"/>
        <w:tabs>
          <w:tab w:leader="none" w:pos="175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Executive shall be entitled to fully participate in the Company’s 401(k) plan for the calendar year with the Date of Termination including the Company contributions based upon participation or matching (with payment of the after-tax economic equivalent if and to the extent such is not permitted under the Company’s 401(k) plan or by applicable law);</w:t>
      </w:r>
    </w:p>
    <w:p>
      <w:pPr>
        <w:spacing w:after="0" w:line="188" w:lineRule="exact"/>
        <w:rPr>
          <w:rFonts w:ascii="Arial" w:cs="Arial" w:eastAsia="Arial" w:hAnsi="Arial"/>
          <w:sz w:val="22"/>
          <w:szCs w:val="22"/>
          <w:color w:val="auto"/>
        </w:rPr>
      </w:pPr>
    </w:p>
    <w:p>
      <w:pPr>
        <w:ind w:left="1300" w:right="100" w:firstLine="5"/>
        <w:spacing w:after="0" w:line="263" w:lineRule="auto"/>
        <w:tabs>
          <w:tab w:leader="none" w:pos="173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Company shall pay to Executive the Prior Year Bonus when and if any annual bonuses for the year prior to the Date of Termination are paid to other executive officers of the Company; and</w:t>
      </w:r>
    </w:p>
    <w:p>
      <w:pPr>
        <w:spacing w:after="0" w:line="174" w:lineRule="exact"/>
        <w:rPr>
          <w:rFonts w:ascii="Arial" w:cs="Arial" w:eastAsia="Arial" w:hAnsi="Arial"/>
          <w:sz w:val="22"/>
          <w:szCs w:val="22"/>
          <w:color w:val="auto"/>
        </w:rPr>
      </w:pPr>
    </w:p>
    <w:p>
      <w:pPr>
        <w:ind w:left="1300" w:right="220" w:firstLine="5"/>
        <w:spacing w:after="0" w:line="263" w:lineRule="auto"/>
        <w:tabs>
          <w:tab w:leader="none" w:pos="176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Executive shall, as of such termination, be released by the Company (including its subsidiaries) from any and all claims and causes of action of any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375" w:right="259" w:bottom="1440" w:gutter="0" w:footer="0" w:header="0"/>
        </w:sectPr>
      </w:pPr>
    </w:p>
    <w:bookmarkStart w:id="101" w:name="page102"/>
    <w:bookmarkEnd w:id="101"/>
    <w:p>
      <w:pPr>
        <w:ind w:left="640"/>
        <w:spacing w:after="0" w:line="253" w:lineRule="auto"/>
        <w:rPr>
          <w:sz w:val="20"/>
          <w:szCs w:val="20"/>
          <w:color w:val="auto"/>
        </w:rPr>
      </w:pPr>
      <w:r>
        <w:rPr>
          <w:rFonts w:ascii="Arial" w:cs="Arial" w:eastAsia="Arial" w:hAnsi="Arial"/>
          <w:sz w:val="22"/>
          <w:szCs w:val="22"/>
          <w:color w:val="auto"/>
        </w:rPr>
        <w:t>kind or character arising from Executive’s employment with the Company (including its subsidiaries and any board membership relating to employment) and the Company shall indemnify and hold harmless the Executive against any such claims or causes of action to the extent permitted by applicable law.</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Qualifying Termination During the Change in Control Period</w:t>
      </w:r>
      <w:r>
        <w:rPr>
          <w:rFonts w:ascii="Arial" w:cs="Arial" w:eastAsia="Arial" w:hAnsi="Arial"/>
          <w:sz w:val="22"/>
          <w:szCs w:val="22"/>
          <w:color w:val="auto"/>
        </w:rPr>
        <w:t>. If, during the Term, the Executive’s employment with the Company and its subsidiaries is terminated in a Qualifying Termination and such termination occurs during a Change in Control Period:</w:t>
      </w:r>
    </w:p>
    <w:p>
      <w:pPr>
        <w:spacing w:after="0" w:line="186" w:lineRule="exact"/>
        <w:rPr>
          <w:sz w:val="20"/>
          <w:szCs w:val="20"/>
          <w:color w:val="auto"/>
        </w:rPr>
      </w:pPr>
    </w:p>
    <w:p>
      <w:pPr>
        <w:jc w:val="both"/>
        <w:ind w:left="640" w:right="180" w:firstLine="5"/>
        <w:spacing w:after="0" w:line="253" w:lineRule="auto"/>
        <w:tabs>
          <w:tab w:leader="none" w:pos="109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Company shall pay to the Executive in a cash lump sum within 30 days after the Date of Termination, the sum of (i) all Accrued Obligations and (ii) the product of two (2) times the sum of the Executive’s Base Salary and Annual Bonus;</w:t>
      </w:r>
    </w:p>
    <w:p>
      <w:pPr>
        <w:spacing w:after="0" w:line="185" w:lineRule="exact"/>
        <w:rPr>
          <w:rFonts w:ascii="Arial" w:cs="Arial" w:eastAsia="Arial" w:hAnsi="Arial"/>
          <w:sz w:val="22"/>
          <w:szCs w:val="22"/>
          <w:color w:val="auto"/>
        </w:rPr>
      </w:pPr>
    </w:p>
    <w:p>
      <w:pPr>
        <w:ind w:left="640" w:right="20" w:firstLine="5"/>
        <w:spacing w:after="0" w:line="246" w:lineRule="auto"/>
        <w:tabs>
          <w:tab w:leader="none" w:pos="110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for two (2) years following the Date of Termination, or such longer period as each Plan may provide, the Company shall continue medical, dental, and vision benefits to the Executive and the Executive’s family at a level at least equal to those that would have been provided if the Executive’s employment had not been terminated under such Plan of the Company applicable to the Executive as of the Date of Termination (with payment of the Plan Economic Equivalent as to each Plan (i) that does not permit the Executive’s continued participation or (ii) that the Executive becomes covered by another Plan with similar or comparable benefits (after 30 days notice to the Company));</w:t>
      </w:r>
    </w:p>
    <w:p>
      <w:pPr>
        <w:spacing w:after="0" w:line="197" w:lineRule="exact"/>
        <w:rPr>
          <w:rFonts w:ascii="Arial" w:cs="Arial" w:eastAsia="Arial" w:hAnsi="Arial"/>
          <w:sz w:val="22"/>
          <w:szCs w:val="22"/>
          <w:color w:val="auto"/>
        </w:rPr>
      </w:pPr>
    </w:p>
    <w:p>
      <w:pPr>
        <w:ind w:left="640" w:right="20" w:firstLine="5"/>
        <w:spacing w:after="0" w:line="265" w:lineRule="auto"/>
        <w:tabs>
          <w:tab w:leader="none" w:pos="109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all Stock Options and Restricted Stock Awards held by the Executive shall become immediately vested and such Stock Options shall become immediately exercisable; provided, that the Target shall immediately vest as to any Performance Awards and the Executive shall continue to vest as to any Performance Awards in excess of Target as if the Executive was an employee of the Company after the Date of Termination.</w:t>
      </w:r>
    </w:p>
    <w:p>
      <w:pPr>
        <w:spacing w:after="0" w:line="175" w:lineRule="exact"/>
        <w:rPr>
          <w:rFonts w:ascii="Arial" w:cs="Arial" w:eastAsia="Arial" w:hAnsi="Arial"/>
          <w:sz w:val="21"/>
          <w:szCs w:val="21"/>
          <w:color w:val="auto"/>
        </w:rPr>
      </w:pPr>
    </w:p>
    <w:p>
      <w:pPr>
        <w:ind w:left="640" w:right="660" w:firstLine="5"/>
        <w:spacing w:after="0" w:line="253" w:lineRule="auto"/>
        <w:tabs>
          <w:tab w:leader="none" w:pos="110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Company shall pay the Executive the Current Annual Bonus when and if (taking into account the performance conditions) annual bonuses for the year of termination are paid to other executive officers of the Company;</w:t>
      </w:r>
    </w:p>
    <w:p>
      <w:pPr>
        <w:spacing w:after="0" w:line="185" w:lineRule="exact"/>
        <w:rPr>
          <w:rFonts w:ascii="Arial" w:cs="Arial" w:eastAsia="Arial" w:hAnsi="Arial"/>
          <w:sz w:val="22"/>
          <w:szCs w:val="22"/>
          <w:color w:val="auto"/>
        </w:rPr>
      </w:pPr>
    </w:p>
    <w:p>
      <w:pPr>
        <w:ind w:left="640" w:right="160" w:firstLine="5"/>
        <w:spacing w:after="0" w:line="250" w:lineRule="auto"/>
        <w:tabs>
          <w:tab w:leader="none" w:pos="109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Executive shall be entitled to fully participate in the Company’s 401(k) plan for the calendar year with the Date of Termination including the Company contributions based upon participation or matching (with payment of the after-tax economic equivalent if and to the extent such is not permitted under the Company’s 401(k) plan or by applicable law);</w:t>
      </w:r>
    </w:p>
    <w:p>
      <w:pPr>
        <w:spacing w:after="0" w:line="188" w:lineRule="exact"/>
        <w:rPr>
          <w:rFonts w:ascii="Arial" w:cs="Arial" w:eastAsia="Arial" w:hAnsi="Arial"/>
          <w:sz w:val="22"/>
          <w:szCs w:val="22"/>
          <w:color w:val="auto"/>
        </w:rPr>
      </w:pPr>
    </w:p>
    <w:p>
      <w:pPr>
        <w:ind w:left="640" w:right="100" w:firstLine="5"/>
        <w:spacing w:after="0" w:line="263" w:lineRule="auto"/>
        <w:tabs>
          <w:tab w:leader="none" w:pos="107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Company shall pay to Executive the Prior Year Bonus when and if any annual bonuses for the year prior to the Date of Termination are paid to other executive officers of the Company; and</w:t>
      </w:r>
    </w:p>
    <w:p>
      <w:pPr>
        <w:spacing w:after="0" w:line="174" w:lineRule="exact"/>
        <w:rPr>
          <w:rFonts w:ascii="Arial" w:cs="Arial" w:eastAsia="Arial" w:hAnsi="Arial"/>
          <w:sz w:val="22"/>
          <w:szCs w:val="22"/>
          <w:color w:val="auto"/>
        </w:rPr>
      </w:pPr>
    </w:p>
    <w:p>
      <w:pPr>
        <w:ind w:left="640" w:right="20" w:firstLine="5"/>
        <w:spacing w:after="0" w:line="343" w:lineRule="auto"/>
        <w:tabs>
          <w:tab w:leader="none" w:pos="110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Executive shall, as of such termination, be released by the Company (including its subsidiaries) from any and all claims and causes of action of any kind or character arising from Executive’s employment with the Company</w:t>
      </w:r>
    </w:p>
    <w:p>
      <w:pPr>
        <w:spacing w:after="0" w:line="34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0"/>
          </w:cols>
          <w:pgMar w:left="900" w:top="375" w:right="259" w:bottom="1440" w:gutter="0" w:footer="0" w:header="0"/>
        </w:sectPr>
      </w:pPr>
    </w:p>
    <w:bookmarkStart w:id="102" w:name="page103"/>
    <w:bookmarkEnd w:id="102"/>
    <w:p>
      <w:pPr>
        <w:ind w:left="640"/>
        <w:spacing w:after="0" w:line="343" w:lineRule="auto"/>
        <w:rPr>
          <w:sz w:val="20"/>
          <w:szCs w:val="20"/>
          <w:color w:val="auto"/>
        </w:rPr>
      </w:pPr>
      <w:r>
        <w:rPr>
          <w:rFonts w:ascii="Arial" w:cs="Arial" w:eastAsia="Arial" w:hAnsi="Arial"/>
          <w:sz w:val="19"/>
          <w:szCs w:val="19"/>
          <w:color w:val="auto"/>
        </w:rPr>
        <w:t>(including its subsidiaries and any board membership relating to employment) and the Company shall indemnify and hold harmless the Executive against any such claims or causes of action to the extent permitted by applicable law.</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Any provision in this Agreement to the contrary notwithstanding, if a Change in Control occurs within six</w:t>
      </w:r>
    </w:p>
    <w:p>
      <w:pPr>
        <w:spacing w:after="0" w:line="56" w:lineRule="exact"/>
        <w:rPr>
          <w:sz w:val="20"/>
          <w:szCs w:val="20"/>
          <w:color w:val="auto"/>
        </w:rPr>
      </w:pPr>
    </w:p>
    <w:p>
      <w:pPr>
        <w:ind w:left="640" w:right="20" w:firstLine="5"/>
        <w:spacing w:after="0" w:line="263" w:lineRule="auto"/>
        <w:tabs>
          <w:tab w:leader="none" w:pos="94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months after the Date of Termination, which constitutes a change in ownership or effective control of the Company or a change in the ownership of a substantial portion of its assets within the meaning of such terms under Section 409A, and if it is reasonably demonstrated by the Executive that such termination of employment (x) was at the request of a third party who had taken steps reasonably calculated to effect the Change in Control or (y) otherwise arose in connection with or anticipation of the Change in Control, then for all purposes of this Agreement the termination of the Executive’s employment shall be deemed to have occurred during a Change in Control Period. In such circumstance, the incremental taxable payments pursuant to subsections (a)(ii), (b) and (c) as the result of deemed termination during a Change in Control Period shall be made in the first regularly scheduled payroll date following the Change in Control or, if later, the scheduled date of payment in any bonus or other plan pursuant to which the payments are made. Notwithstanding anything to the contrary in this Section 4.2, if the Date of Termination is on or after the Executive’s 65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birthday, the Executive shall not receive the benefits pursuant to (a) (ii), (b) or (e) of this Section 4.2.</w:t>
      </w:r>
    </w:p>
    <w:p>
      <w:pPr>
        <w:spacing w:after="0" w:line="178"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Non-Qualifying Termination</w:t>
      </w:r>
      <w:r>
        <w:rPr>
          <w:rFonts w:ascii="Arial" w:cs="Arial" w:eastAsia="Arial" w:hAnsi="Arial"/>
          <w:sz w:val="21"/>
          <w:szCs w:val="21"/>
          <w:color w:val="auto"/>
        </w:rPr>
        <w:t>. If the Executive’s employment with the Company and its subsidiaries is terminated in a Non-Qualifying Termination, this Agreement shall terminate without further obligations to the Executive other than Accrued Obligations; provided, that, if the Executive’s employment is terminated due to Executive’s death or Disability, (i) the Company shall pay to Executive (or his personal representative) the Current Annual Bonus when and if (taking into account the performance conditions) annual bonuses for the year of the Executive’s death or Disability are paid to other executive officers of the Company, (ii) the Company shall pay to Executive (or his personal representative) the Prior Year Bonus when and if any annual bonuses for the year prior to the Executive’s death or Disability are paid to other executive officers of the Company, and (iii) all Stock Options held by the Executive shall become immediately vested and exercisable, and all Restricted Stock Awards held by the Executive shall continue to vest as if the Executive was an employee of the Company for the Vesting Period.</w:t>
      </w:r>
    </w:p>
    <w:p>
      <w:pPr>
        <w:spacing w:after="0" w:line="186"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Option Exercise and Termination</w:t>
      </w:r>
      <w:r>
        <w:rPr>
          <w:rFonts w:ascii="Arial" w:cs="Arial" w:eastAsia="Arial" w:hAnsi="Arial"/>
          <w:sz w:val="21"/>
          <w:szCs w:val="21"/>
          <w:color w:val="auto"/>
        </w:rPr>
        <w:t>. All vested Stock Options granted to the Executive (including Stock Options vested pursuant to this Agreement) shall be exercisable for 24 months following the later of (a) the Date of Termination or (b) the date that Executive ceases to be a member of the Board and a member of the board of director of any of the Company subsidiaries; provided that the exercise period shall (i) extend to any longer period for exercise of Stock Options pursuant to the applicable stock option agreement or certificate for such Stock Options and (ii) not extend beyond the Normal Option Expiration Date. The Company as to Stock Options granted to the Executive may not (a) require the exercise of such Stock Options, (b) reduce the exercise</w:t>
      </w:r>
    </w:p>
    <w:p>
      <w:pPr>
        <w:spacing w:after="0" w:line="200" w:lineRule="exact"/>
        <w:rPr>
          <w:sz w:val="20"/>
          <w:szCs w:val="20"/>
          <w:color w:val="auto"/>
        </w:rPr>
      </w:pPr>
    </w:p>
    <w:p>
      <w:pPr>
        <w:spacing w:after="0" w:line="22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0"/>
          </w:cols>
          <w:pgMar w:left="900" w:top="375" w:right="239" w:bottom="1440" w:gutter="0" w:footer="0" w:header="0"/>
        </w:sectPr>
      </w:pPr>
    </w:p>
    <w:bookmarkStart w:id="103" w:name="page104"/>
    <w:bookmarkEnd w:id="103"/>
    <w:p>
      <w:pPr>
        <w:ind w:left="652" w:right="140"/>
        <w:spacing w:after="0" w:line="253" w:lineRule="auto"/>
        <w:rPr>
          <w:sz w:val="20"/>
          <w:szCs w:val="20"/>
          <w:color w:val="auto"/>
        </w:rPr>
      </w:pPr>
      <w:r>
        <w:rPr>
          <w:rFonts w:ascii="Arial" w:cs="Arial" w:eastAsia="Arial" w:hAnsi="Arial"/>
          <w:sz w:val="22"/>
          <w:szCs w:val="22"/>
          <w:color w:val="auto"/>
        </w:rPr>
        <w:t>period for such Stock Options or (c) otherwise take action to circumvent the exercise period for such Stock Options as provided above. The above provisions shall supersede any contrary provisions in any stock option agreement, stock option certificate or other document.</w:t>
      </w:r>
    </w:p>
    <w:p>
      <w:pPr>
        <w:spacing w:after="0" w:line="186"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Section 409A Limitation</w:t>
      </w:r>
      <w:r>
        <w:rPr>
          <w:rFonts w:ascii="Arial" w:cs="Arial" w:eastAsia="Arial" w:hAnsi="Arial"/>
          <w:sz w:val="19"/>
          <w:szCs w:val="19"/>
          <w:color w:val="auto"/>
        </w:rPr>
        <w:t>.</w:t>
      </w:r>
    </w:p>
    <w:p>
      <w:pPr>
        <w:spacing w:after="0" w:line="220" w:lineRule="exact"/>
        <w:rPr>
          <w:sz w:val="20"/>
          <w:szCs w:val="20"/>
          <w:color w:val="auto"/>
        </w:rPr>
      </w:pPr>
    </w:p>
    <w:p>
      <w:pPr>
        <w:ind w:left="1292"/>
        <w:spacing w:after="0"/>
        <w:tabs>
          <w:tab w:leader="none" w:pos="1732" w:val="left"/>
        </w:tabs>
        <w:rPr>
          <w:sz w:val="20"/>
          <w:szCs w:val="20"/>
          <w:color w:val="auto"/>
        </w:rPr>
      </w:pPr>
      <w:r>
        <w:rPr>
          <w:rFonts w:ascii="Arial" w:cs="Arial" w:eastAsia="Arial" w:hAnsi="Arial"/>
          <w:sz w:val="22"/>
          <w:szCs w:val="22"/>
          <w:color w:val="auto"/>
        </w:rPr>
        <w:t>(a)</w:t>
        <w:tab/>
        <w:t>Notwithstanding anything to the contrary in Sections 4.1 and 4.2,</w:t>
      </w:r>
    </w:p>
    <w:p>
      <w:pPr>
        <w:spacing w:after="0" w:line="22" w:lineRule="exact"/>
        <w:rPr>
          <w:sz w:val="20"/>
          <w:szCs w:val="20"/>
          <w:color w:val="auto"/>
        </w:rPr>
      </w:pPr>
    </w:p>
    <w:p>
      <w:pPr>
        <w:ind w:left="1292"/>
        <w:spacing w:after="0" w:line="238" w:lineRule="auto"/>
        <w:rPr>
          <w:sz w:val="20"/>
          <w:szCs w:val="20"/>
          <w:color w:val="auto"/>
        </w:rPr>
      </w:pPr>
      <w:r>
        <w:rPr>
          <w:rFonts w:ascii="Arial" w:cs="Arial" w:eastAsia="Arial" w:hAnsi="Arial"/>
          <w:sz w:val="21"/>
          <w:szCs w:val="21"/>
          <w:color w:val="auto"/>
        </w:rPr>
        <w:t>the taxable amounts payable by the Company to the Executive pursuant to (a)(ii), (d) and (e) of Section 4.1 or 4.2, as applicable, and other Company separation pay plan amounts, if any, shall be paid on the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following the 6</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month anniversary of the Date of Termination (“</w:t>
      </w:r>
      <w:r>
        <w:rPr>
          <w:rFonts w:ascii="Arial" w:cs="Arial" w:eastAsia="Arial" w:hAnsi="Arial"/>
          <w:sz w:val="21"/>
          <w:szCs w:val="21"/>
          <w:u w:val="single" w:color="auto"/>
          <w:color w:val="auto"/>
        </w:rPr>
        <w:t>409A Deferred Date</w:t>
      </w:r>
      <w:r>
        <w:rPr>
          <w:rFonts w:ascii="Arial" w:cs="Arial" w:eastAsia="Arial" w:hAnsi="Arial"/>
          <w:sz w:val="21"/>
          <w:szCs w:val="21"/>
          <w:color w:val="auto"/>
        </w:rPr>
        <w:t>”) (or, if earlier, the date of Executive’s death) if the Executive is a “specified employee” pursuant to Section 409A. Notwithstanding anything to the contrary in Sections 4.1(b) and 4.2(b), with respect to the taxable amounts payable by the Company for the time period after Executive would be entitled to continuation coverage under a Company group health plan under Section 4980B of the Code if the Executive elected such coverage and paid the applicable premiums, Executive shall pay the monthly cost of the benefits consistent with the Company’s then current practices and the Company shall reimburse the Executive within 30 days after the Executive’s payment. Any reimbursements provided during an Executive’s taxable year shall not affect the amount eligible for reimbursement in any other taxable year and the right to premium reimbursement shall not be subject to liquidation or exchange for another payment or benefit. Notwithstanding anything to the contrary in Section 6.2, a payment pursuant to Section 6.2 shall be made (i) on or after the 409A Deferred Date if such payment is conditioned upon separation from service, (ii) on a monthly basis as to legal reimbursement, payable on the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each month (subject to (i) above), (iii) no later than the end of the taxable year of the Executive (or his estate), as applicable, following the taxable year in which a reimbursable expense was incurred (subject to (i) above), and (iv) no later than the end of the 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anniversary of the Executive’s death.</w:t>
      </w:r>
    </w:p>
    <w:p>
      <w:pPr>
        <w:spacing w:after="0" w:line="216" w:lineRule="exact"/>
        <w:rPr>
          <w:sz w:val="20"/>
          <w:szCs w:val="20"/>
          <w:color w:val="auto"/>
        </w:rPr>
      </w:pPr>
    </w:p>
    <w:p>
      <w:pPr>
        <w:ind w:left="1292"/>
        <w:spacing w:after="0"/>
        <w:tabs>
          <w:tab w:leader="none" w:pos="1732"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Any payment or benefit that otherwise would be paid or provided</w:t>
      </w:r>
    </w:p>
    <w:p>
      <w:pPr>
        <w:spacing w:after="0" w:line="22" w:lineRule="exact"/>
        <w:rPr>
          <w:sz w:val="20"/>
          <w:szCs w:val="20"/>
          <w:color w:val="auto"/>
        </w:rPr>
      </w:pPr>
    </w:p>
    <w:p>
      <w:pPr>
        <w:jc w:val="both"/>
        <w:ind w:left="1292" w:right="20"/>
        <w:spacing w:after="0" w:line="295" w:lineRule="auto"/>
        <w:rPr>
          <w:sz w:val="20"/>
          <w:szCs w:val="20"/>
          <w:color w:val="auto"/>
        </w:rPr>
      </w:pPr>
      <w:r>
        <w:rPr>
          <w:rFonts w:ascii="Arial" w:cs="Arial" w:eastAsia="Arial" w:hAnsi="Arial"/>
          <w:sz w:val="19"/>
          <w:szCs w:val="19"/>
          <w:color w:val="auto"/>
        </w:rPr>
        <w:t>following the Date of Termination and that is subject to deferral pursuant to Section 4.5(a) shall be accumulated and paid in a lump sum at the earliest date which complies with the requirements of Section 409A. This Section 4.5 and the Agreement shall be interpreted and construed consistent with Section 409A and concomitant regulations in order to avoid the imposition of any additional taxes and interest pursuant to Section 409A (“</w:t>
      </w:r>
      <w:r>
        <w:rPr>
          <w:rFonts w:ascii="Arial" w:cs="Arial" w:eastAsia="Arial" w:hAnsi="Arial"/>
          <w:sz w:val="19"/>
          <w:szCs w:val="19"/>
          <w:u w:val="single" w:color="auto"/>
          <w:color w:val="auto"/>
        </w:rPr>
        <w:t>409A Taxes</w:t>
      </w:r>
      <w:r>
        <w:rPr>
          <w:rFonts w:ascii="Arial" w:cs="Arial" w:eastAsia="Arial" w:hAnsi="Arial"/>
          <w:sz w:val="19"/>
          <w:szCs w:val="19"/>
          <w:color w:val="auto"/>
        </w:rPr>
        <w:t>”).”</w:t>
      </w:r>
    </w:p>
    <w:p>
      <w:pPr>
        <w:spacing w:after="0" w:line="150" w:lineRule="exact"/>
        <w:rPr>
          <w:sz w:val="20"/>
          <w:szCs w:val="20"/>
          <w:color w:val="auto"/>
        </w:rPr>
      </w:pPr>
    </w:p>
    <w:p>
      <w:pPr>
        <w:ind w:left="652" w:hanging="652"/>
        <w:spacing w:after="0"/>
        <w:tabs>
          <w:tab w:leader="none" w:pos="65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NONCOMPETITION OBLIGATIONS</w:t>
      </w:r>
    </w:p>
    <w:p>
      <w:pPr>
        <w:spacing w:after="0" w:line="219"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The Executive shall be subject to the following noncompetition obligations:</w:t>
      </w:r>
    </w:p>
    <w:p>
      <w:pPr>
        <w:spacing w:after="0" w:line="219" w:lineRule="exact"/>
        <w:rPr>
          <w:rFonts w:ascii="Arial" w:cs="Arial" w:eastAsia="Arial" w:hAnsi="Arial"/>
          <w:sz w:val="22"/>
          <w:szCs w:val="22"/>
          <w:color w:val="auto"/>
        </w:rPr>
      </w:pPr>
    </w:p>
    <w:p>
      <w:pPr>
        <w:ind w:left="652" w:right="200" w:hanging="4"/>
        <w:spacing w:after="0" w:line="260" w:lineRule="auto"/>
        <w:tabs>
          <w:tab w:leader="none" w:pos="107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As consideration for the Severance Agreement as provided herein, the Company and the Executive agree to the noncompetition obligations hereunder. From the effective date of this agreement and continuing for a period of 12 months from the Date of</w:t>
      </w: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92"/>
          </w:cols>
          <w:pgMar w:left="248" w:top="375" w:right="259" w:bottom="1440" w:gutter="0" w:footer="0" w:header="0"/>
        </w:sectPr>
      </w:pPr>
    </w:p>
    <w:bookmarkStart w:id="104" w:name="page105"/>
    <w:bookmarkEnd w:id="104"/>
    <w:p>
      <w:pPr>
        <w:ind w:right="60"/>
        <w:spacing w:after="0" w:line="288" w:lineRule="auto"/>
        <w:rPr>
          <w:sz w:val="20"/>
          <w:szCs w:val="20"/>
          <w:color w:val="auto"/>
        </w:rPr>
      </w:pPr>
      <w:r>
        <w:rPr>
          <w:rFonts w:ascii="Arial" w:cs="Arial" w:eastAsia="Arial" w:hAnsi="Arial"/>
          <w:sz w:val="19"/>
          <w:szCs w:val="19"/>
          <w:color w:val="auto"/>
        </w:rPr>
        <w:t>Termination, the Executive shall not personally engage in any “Competitive Activities” (as defined below) within any geographic area in the United States or Australia in which the Company or any of its Affiliates is then engaged in Competitive Activities (“</w:t>
      </w:r>
      <w:r>
        <w:rPr>
          <w:rFonts w:ascii="Arial" w:cs="Arial" w:eastAsia="Arial" w:hAnsi="Arial"/>
          <w:sz w:val="19"/>
          <w:szCs w:val="19"/>
          <w:u w:val="single" w:color="auto"/>
          <w:color w:val="auto"/>
        </w:rPr>
        <w:t>Restricted Areas</w:t>
      </w:r>
      <w:r>
        <w:rPr>
          <w:rFonts w:ascii="Arial" w:cs="Arial" w:eastAsia="Arial" w:hAnsi="Arial"/>
          <w:sz w:val="19"/>
          <w:szCs w:val="19"/>
          <w:color w:val="auto"/>
        </w:rPr>
        <w:t>”)</w:t>
      </w:r>
      <w:r>
        <w:rPr>
          <w:rFonts w:ascii="Arial" w:cs="Arial" w:eastAsia="Arial" w:hAnsi="Arial"/>
          <w:sz w:val="19"/>
          <w:szCs w:val="19"/>
          <w:u w:val="single" w:color="auto"/>
          <w:color w:val="auto"/>
        </w:rPr>
        <w:t>;</w:t>
      </w:r>
      <w:r>
        <w:rPr>
          <w:rFonts w:ascii="Arial" w:cs="Arial" w:eastAsia="Arial" w:hAnsi="Arial"/>
          <w:sz w:val="19"/>
          <w:szCs w:val="19"/>
          <w:color w:val="auto"/>
        </w:rPr>
        <w:t xml:space="preserve"> including, without limitation, working for, owning, managing, operating, controlling or participating in the ownership, management, operation or control of, or providing consulting or advisory services to, any individual partnership, firm, corporation, institution, entity or other person (“</w:t>
      </w:r>
      <w:r>
        <w:rPr>
          <w:rFonts w:ascii="Arial" w:cs="Arial" w:eastAsia="Arial" w:hAnsi="Arial"/>
          <w:sz w:val="19"/>
          <w:szCs w:val="19"/>
          <w:u w:val="single" w:color="auto"/>
          <w:color w:val="auto"/>
        </w:rPr>
        <w:t>person</w:t>
      </w:r>
      <w:r>
        <w:rPr>
          <w:rFonts w:ascii="Arial" w:cs="Arial" w:eastAsia="Arial" w:hAnsi="Arial"/>
          <w:sz w:val="19"/>
          <w:szCs w:val="19"/>
          <w:color w:val="auto"/>
        </w:rPr>
        <w:t>”) engaged in Competitive Activities within any Restricted Areas; provided, however, that the purchase or holding for investment purposes only, of securities of a company shall not constitute “ownership” or “participation in ownership” for these purposes so long as the equity interest in any such company represents less than 5% of the outstanding capital stock of such company. Anything herein to the contrary notwithstanding, no person shall be deemed engaged in Competitive Activities if less than 5% of its revenues are derived from “Competitive Activities” as defined in the next paragraph.</w:t>
      </w:r>
    </w:p>
    <w:p>
      <w:pPr>
        <w:spacing w:after="0" w:line="160"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For such purposes above, “</w:t>
      </w:r>
      <w:r>
        <w:rPr>
          <w:rFonts w:ascii="Arial" w:cs="Arial" w:eastAsia="Arial" w:hAnsi="Arial"/>
          <w:sz w:val="19"/>
          <w:szCs w:val="19"/>
          <w:u w:val="single" w:color="auto"/>
          <w:color w:val="auto"/>
        </w:rPr>
        <w:t>Competitive Activities</w:t>
      </w:r>
      <w:r>
        <w:rPr>
          <w:rFonts w:ascii="Arial" w:cs="Arial" w:eastAsia="Arial" w:hAnsi="Arial"/>
          <w:sz w:val="19"/>
          <w:szCs w:val="19"/>
          <w:color w:val="auto"/>
        </w:rPr>
        <w:t>” mean any business activity involving or relating to owning or operating wireless communication or broadcast towers located in the Restricted Area; provided, however, that if the Company is advised of a business opportunity by the Executive as provided below, and it declines to pursue such business opportunity, the Executive shall be free to pursue such business opportunity and such activity shall not be a “Competitive Activity.” If after the Date of Termination the Executive becomes aware of a business opportunity which involves a Competitive Activity in the Restricted Area, the Executive shall fully advise (in writing and indicating that such information is pursuant to this provision) the Company as to such opportunity and will not pursue it except as provided herein. If, within 15 business days of the Executive’s advising the Company of such business opportunity, the Board fails to adopt a resolution (and provide a certified copy to the Executive) that it will pursue such business opportunity, the Company will be deemed to have declined to pursue such opportunity. If, after a vote by the Board in favor of pursuing a business opportunity, the Company “fails to pursue” such opportunity, then the Company, including for this purpose the Board, shall be deemed to have declined to pursue such business opportunity as of the date it “fails to pursue” such opportunity. “</w:t>
      </w:r>
      <w:r>
        <w:rPr>
          <w:rFonts w:ascii="Arial" w:cs="Arial" w:eastAsia="Arial" w:hAnsi="Arial"/>
          <w:sz w:val="19"/>
          <w:szCs w:val="19"/>
          <w:u w:val="single" w:color="auto"/>
          <w:color w:val="auto"/>
        </w:rPr>
        <w:t>Fails to pursue</w:t>
      </w:r>
      <w:r>
        <w:rPr>
          <w:rFonts w:ascii="Arial" w:cs="Arial" w:eastAsia="Arial" w:hAnsi="Arial"/>
          <w:sz w:val="19"/>
          <w:szCs w:val="19"/>
          <w:color w:val="auto"/>
        </w:rPr>
        <w:t>” means that the Company has failed to pursue such opportunity in a reasonable commercial manner and “fails to pursue” is irrebutably presumed if (x) within 30 days of such vote, the Company has not signed a confidentiality agreement with the parties representing such business opportunity; (y) within 60 days of such vote, the Company has not begun the due diligence process regarding such business opportunity; or (z) within 120 days of such vote, the Company is not in active discussions, or has otherwise terminated its discussions with the parties representing such business opportunity.</w:t>
      </w:r>
    </w:p>
    <w:p>
      <w:pPr>
        <w:spacing w:after="0" w:line="16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Notwithstanding anything to the contrary in this Section V(a), (i) activities shall not be deemed to be “Competitive Activities” solely as a result of the Executive’s being employed by or otherwise associated with a business of which a unit is in competition with the Company but as to which unit Executive does not have direct or indirect responsibility or direct involvement, and (ii) nothing herein shall prohibit Executive from owning, managing, operating, controlling or participating in the ownership, management, operation or control of, or being employed by or engaged as an independent contractor</w:t>
      </w:r>
    </w:p>
    <w:p>
      <w:pPr>
        <w:spacing w:after="0" w:line="39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40"/>
          </w:cols>
          <w:pgMar w:left="900" w:top="375" w:right="259" w:bottom="1440" w:gutter="0" w:footer="0" w:header="0"/>
        </w:sectPr>
      </w:pPr>
    </w:p>
    <w:bookmarkStart w:id="105" w:name="page106"/>
    <w:bookmarkEnd w:id="105"/>
    <w:p>
      <w:pPr>
        <w:ind w:left="660" w:right="680"/>
        <w:spacing w:after="0" w:line="263" w:lineRule="auto"/>
        <w:rPr>
          <w:sz w:val="20"/>
          <w:szCs w:val="20"/>
          <w:color w:val="auto"/>
        </w:rPr>
      </w:pPr>
      <w:r>
        <w:rPr>
          <w:rFonts w:ascii="Arial" w:cs="Arial" w:eastAsia="Arial" w:hAnsi="Arial"/>
          <w:sz w:val="22"/>
          <w:szCs w:val="22"/>
          <w:color w:val="auto"/>
        </w:rPr>
        <w:t>for a law firm or other person engaged primarily in the performance of legal services, and such activities shall not be deemed to be “Competitive Activities”.</w:t>
      </w:r>
    </w:p>
    <w:p>
      <w:pPr>
        <w:spacing w:after="0" w:line="175" w:lineRule="exact"/>
        <w:rPr>
          <w:sz w:val="20"/>
          <w:szCs w:val="20"/>
          <w:color w:val="auto"/>
        </w:rPr>
      </w:pPr>
    </w:p>
    <w:p>
      <w:pPr>
        <w:ind w:left="660" w:right="560"/>
        <w:spacing w:after="0" w:line="263" w:lineRule="auto"/>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Affiliate</w:t>
      </w:r>
      <w:r>
        <w:rPr>
          <w:rFonts w:ascii="Arial" w:cs="Arial" w:eastAsia="Arial" w:hAnsi="Arial"/>
          <w:sz w:val="22"/>
          <w:szCs w:val="22"/>
          <w:color w:val="auto"/>
        </w:rPr>
        <w:t>” of a specified person means a person that directly or indirectly controls, is controlled by, or is under common control with the person specified.</w:t>
      </w:r>
    </w:p>
    <w:p>
      <w:pPr>
        <w:spacing w:after="0" w:line="175" w:lineRule="exact"/>
        <w:rPr>
          <w:sz w:val="20"/>
          <w:szCs w:val="20"/>
          <w:color w:val="auto"/>
        </w:rPr>
      </w:pPr>
    </w:p>
    <w:p>
      <w:pPr>
        <w:ind w:left="660" w:right="160" w:hanging="4"/>
        <w:spacing w:after="0" w:line="307" w:lineRule="auto"/>
        <w:tabs>
          <w:tab w:leader="none" w:pos="109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For a period of 12 months from the Date of Termination, the Executive shall not knowingly induce any employee of the Company or any of its Affiliates to terminate his or her employment with the Company or any of the Affiliates to work with or for the Executive or any of Executive’s future employers and provided further that the Executive’s response to unsolicited requests for employment references for employees of the Company shall not be a violation of this restriction.</w:t>
      </w:r>
    </w:p>
    <w:p>
      <w:pPr>
        <w:spacing w:after="0" w:line="138" w:lineRule="exact"/>
        <w:rPr>
          <w:rFonts w:ascii="Arial" w:cs="Arial" w:eastAsia="Arial" w:hAnsi="Arial"/>
          <w:sz w:val="19"/>
          <w:szCs w:val="19"/>
          <w:color w:val="auto"/>
        </w:rPr>
      </w:pPr>
    </w:p>
    <w:p>
      <w:pPr>
        <w:ind w:left="660" w:hanging="4"/>
        <w:spacing w:after="0" w:line="258" w:lineRule="auto"/>
        <w:tabs>
          <w:tab w:leader="none" w:pos="10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Executive understands that the restrictions set forth in (a) and (b) above may limit the Executive’s ability to engage in certain businesses in the Restricted Areas during the 12-month period provided for in (a) and (b) above, but acknowledges that the Executive will receive sufficiently high remuneration and other benefits under this Severance Agreement to justify such restrictions. The Executive acknowledges that money damages would not be sufficient remedy for any breach of the provisions of (a) and (b) above by the Executive, and the Company shall be entitled to enforce such provisions by specific performance and injunctive relief as remedies for such breach or any threatened breach. Such remedies shall not be deemed the exclusive remedies for such breach, but shall be in addition to all remedies available at law or in equity to the Company, including without limitation, the recovery of damages from the Executive and the Executive’s agents involved in such breach and remedies available to the Company pursuant to other agreements with the Executive. Notwithstanding the foregoing, in the event that the Executive and/or the Executive’s agents breach the restrictions set forth in clauses (a) and/or (b), the Company shall in no circumstances be entitled to recover damages or other compensation in respect of all such breaches in excess of 50% of the amount paid to Executive pursuant to Section 4.1(a)(ii) or 4.2(a)(ii), as applicable.</w:t>
      </w:r>
    </w:p>
    <w:p>
      <w:pPr>
        <w:spacing w:after="0" w:line="190" w:lineRule="exact"/>
        <w:rPr>
          <w:rFonts w:ascii="Arial" w:cs="Arial" w:eastAsia="Arial" w:hAnsi="Arial"/>
          <w:sz w:val="21"/>
          <w:szCs w:val="21"/>
          <w:color w:val="auto"/>
        </w:rPr>
      </w:pPr>
    </w:p>
    <w:p>
      <w:pPr>
        <w:ind w:left="1080" w:hanging="424"/>
        <w:spacing w:after="0"/>
        <w:tabs>
          <w:tab w:leader="none" w:pos="10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It is expressly understood and agreed that the Company and the Executive consider the restrictions contained in (a) and</w:t>
      </w:r>
    </w:p>
    <w:p>
      <w:pPr>
        <w:spacing w:after="0" w:line="56" w:lineRule="exact"/>
        <w:rPr>
          <w:rFonts w:ascii="Arial" w:cs="Arial" w:eastAsia="Arial" w:hAnsi="Arial"/>
          <w:sz w:val="19"/>
          <w:szCs w:val="19"/>
          <w:color w:val="auto"/>
        </w:rPr>
      </w:pPr>
    </w:p>
    <w:p>
      <w:pPr>
        <w:ind w:left="660" w:right="400" w:hanging="4"/>
        <w:spacing w:after="0" w:line="247" w:lineRule="auto"/>
        <w:tabs>
          <w:tab w:leader="none" w:pos="96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above to be reasonable and necessary to protect the business of the Company. Nevertheless, if any of the aforesaid restrictions are found by an arbitrator or a court having jurisdiction to be unreasonable, or overly broad as to geographic area or time, or otherwise unenforceable, the parties intend for the restrictions therein set forth to be modified by such arbitrator or court so as to be reasonable and enforceable and, as so modified by such arbitrator or court, to be fully enforced.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22"/>
          <w:szCs w:val="22"/>
          <w:color w:val="auto"/>
        </w:rPr>
        <w:t>MISCELLANEOUS PROVISIONS</w:t>
      </w:r>
    </w:p>
    <w:p>
      <w:pPr>
        <w:spacing w:after="0" w:line="220" w:lineRule="exact"/>
        <w:rPr>
          <w:sz w:val="20"/>
          <w:szCs w:val="20"/>
          <w:color w:val="auto"/>
        </w:rPr>
      </w:pPr>
    </w:p>
    <w:p>
      <w:pPr>
        <w:ind w:left="660" w:right="220"/>
        <w:spacing w:after="0" w:line="254"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Nothing in this Agreement shall prevent or limit the Executive’s continuing or future participation in any benefit, bonus, incentive or other Plan provided by the Company or any of its Affiliates and for which the Executive may qualify (including, without limitation, any insurance benefits relating to death or Disability of the Executive), nor shall anything herein limit or otherwise affect such</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06" w:name="page107"/>
    <w:bookmarkEnd w:id="106"/>
    <w:p>
      <w:pPr>
        <w:ind w:right="40"/>
        <w:spacing w:after="0" w:line="294" w:lineRule="auto"/>
        <w:rPr>
          <w:sz w:val="20"/>
          <w:szCs w:val="20"/>
          <w:color w:val="auto"/>
        </w:rPr>
      </w:pPr>
      <w:r>
        <w:rPr>
          <w:rFonts w:ascii="Arial" w:cs="Arial" w:eastAsia="Arial" w:hAnsi="Arial"/>
          <w:sz w:val="19"/>
          <w:szCs w:val="19"/>
          <w:color w:val="auto"/>
        </w:rPr>
        <w:t>rights as the Executive may have under any other agreements with the Company or any of its Affiliates; provided that, by executing this Agreement, the Executive acknowledges Executive’s ineligibility for, and waives any other right Executive may have to receive, any other severance or termination benefits provided by the Company or its subsidiaries. Amounts which are vested benefits or which the Executive is otherwise entitled to receive under any Plan of the Company or any of its Affiliates (other than any severance plan or program of the Company and its subsidiaries) at or subsequent to the Date of Termination shall be payable in accordance with such Plan except as explicitly modified by this Agreement.</w:t>
      </w:r>
    </w:p>
    <w:p>
      <w:pPr>
        <w:spacing w:after="0" w:line="150"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Other Payments and Obligations</w:t>
      </w:r>
      <w:r>
        <w:rPr>
          <w:rFonts w:ascii="Arial" w:cs="Arial" w:eastAsia="Arial" w:hAnsi="Arial"/>
          <w:sz w:val="19"/>
          <w:szCs w:val="19"/>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The Company agrees to pay, from time to time promptly upon invoice, to the full extent permitted by law, all legal fees and expenses which the Executive may reasonably incur as a result of any contest or controversy (regardless of the outcome thereof and whether or not litigation is involved) by the Company, the Executive or others of the validity or enforceability of, or liability under, any provision of this Agreement or any guarantee of performance thereof; provided any contest or dispute is not in bad faith by the Executive.</w:t>
      </w:r>
    </w:p>
    <w:p>
      <w:pPr>
        <w:spacing w:after="0" w:line="155"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33" w:lineRule="exact"/>
        <w:rPr>
          <w:sz w:val="20"/>
          <w:szCs w:val="20"/>
          <w:color w:val="auto"/>
        </w:rPr>
      </w:pPr>
    </w:p>
    <w:p>
      <w:pPr>
        <w:ind w:left="640" w:right="20" w:firstLine="5"/>
        <w:spacing w:after="0" w:line="286" w:lineRule="auto"/>
        <w:tabs>
          <w:tab w:leader="none" w:pos="152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During the Term and thereafter, the Executive shall not, without the written consent of the Chief Executive Officer of the Company (“</w:t>
      </w:r>
      <w:r>
        <w:rPr>
          <w:rFonts w:ascii="Arial" w:cs="Arial" w:eastAsia="Arial" w:hAnsi="Arial"/>
          <w:sz w:val="19"/>
          <w:szCs w:val="19"/>
          <w:u w:val="single" w:color="auto"/>
          <w:color w:val="auto"/>
        </w:rPr>
        <w:t>CEO</w:t>
      </w:r>
      <w:r>
        <w:rPr>
          <w:rFonts w:ascii="Arial" w:cs="Arial" w:eastAsia="Arial" w:hAnsi="Arial"/>
          <w:sz w:val="19"/>
          <w:szCs w:val="19"/>
          <w:color w:val="auto"/>
        </w:rPr>
        <w:t>”) or the Board (including an applicable committee of the Board) disclose to any person, other than (i) an employee of the Company, (ii) a person to whom disclosure is reasonably necessary or appropriate in connection with the performance by the Executive of Executive’s duties as an executive of the Company, (iii) to the extent required by applicable law (including any rule or regulation) or (iv) to the extent necessary to enforce Executive’s rights pursuant to this Agreement, any material confidential information obtained by Executive while in the employ of the Company or its subsidiaries with respect to any of the products, improvements, formulas, designs or styles, processes, customers, methods of distribution or methods of manufacture of the Company or its subsidiaries, the disclosure of which Executive knows will be materially damaging to the Company; provided, however, that confidential information shall not include any information known generally to the public (other than as a result of unauthorized disclosure by the Executive) or any information of a type not otherwise considered confidential by persons engaged in the same business or a business similar to that conducted by the Company. Information concerning a business opportunity described in Section V (a) which the Company declines or “fails to pursue” shall not constitute information for purposes of this section.</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40"/>
          </w:cols>
          <w:pgMar w:left="900" w:top="375" w:right="259" w:bottom="1440" w:gutter="0" w:footer="0" w:header="0"/>
        </w:sectPr>
      </w:pPr>
    </w:p>
    <w:bookmarkStart w:id="107" w:name="page108"/>
    <w:bookmarkEnd w:id="107"/>
    <w:p>
      <w:pPr>
        <w:ind w:left="640" w:right="80" w:firstLine="5"/>
        <w:spacing w:after="0" w:line="290" w:lineRule="auto"/>
        <w:tabs>
          <w:tab w:leader="none" w:pos="15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Any and all inventions made, developed or created by the Executive (whether at the request or suggestion of the Company or otherwise, whether alone or in conjunction with others, and whether during regular hours of work or otherwise) during the period of Executive’s employment by the Company or its subsidiaries, which may be directly or indirectly useful in, or relate to, the business of or tests being carried out by the Company or any of its subsidiaries, will be promptly and fully disclosed by the Executive to an appropriate executive officer of the Company and shall be the Company’s exclusive property as against the Executive, and the Executive will promptly deliver to an appropriate executive officer of the Company all papers, drawings, models, data and other material relating to any invention made, developed or created by Executive as aforesaid.</w:t>
      </w:r>
    </w:p>
    <w:p>
      <w:pPr>
        <w:spacing w:after="0" w:line="156" w:lineRule="exact"/>
        <w:rPr>
          <w:rFonts w:ascii="Arial" w:cs="Arial" w:eastAsia="Arial" w:hAnsi="Arial"/>
          <w:sz w:val="19"/>
          <w:szCs w:val="19"/>
          <w:color w:val="auto"/>
        </w:rPr>
      </w:pPr>
    </w:p>
    <w:p>
      <w:pPr>
        <w:ind w:left="640" w:right="340" w:firstLine="5"/>
        <w:spacing w:after="0" w:line="297" w:lineRule="auto"/>
        <w:tabs>
          <w:tab w:leader="none" w:pos="152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Executive will, upon the Company’s request and without any payment therefor, execute any documents necessary or advisable in the opinion of the Company’s counsel to direct issuance of patents to the Company with respect to such inventions as are to be the Company’s exclusive property as against the Executive under Section 6.3 (b) above or to vest in the Company title to such inventions as against the Executive; provided, however, that the expense of securing any such patent will be borne by the Company.</w:t>
      </w:r>
    </w:p>
    <w:p>
      <w:pPr>
        <w:spacing w:after="0" w:line="147" w:lineRule="exact"/>
        <w:rPr>
          <w:rFonts w:ascii="Arial" w:cs="Arial" w:eastAsia="Arial" w:hAnsi="Arial"/>
          <w:sz w:val="19"/>
          <w:szCs w:val="19"/>
          <w:color w:val="auto"/>
        </w:rPr>
      </w:pPr>
    </w:p>
    <w:p>
      <w:pPr>
        <w:ind w:left="640" w:right="240" w:firstLine="5"/>
        <w:spacing w:after="0" w:line="263" w:lineRule="auto"/>
        <w:tabs>
          <w:tab w:leader="none" w:pos="154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foregoing provisions of this Section 6.3 shall be binding upon the Executive’s heirs, successors and legal representatives.</w:t>
      </w:r>
    </w:p>
    <w:p>
      <w:pPr>
        <w:spacing w:after="0" w:line="174" w:lineRule="exact"/>
        <w:rPr>
          <w:rFonts w:ascii="Arial" w:cs="Arial" w:eastAsia="Arial" w:hAnsi="Arial"/>
          <w:sz w:val="22"/>
          <w:szCs w:val="22"/>
          <w:color w:val="auto"/>
        </w:rPr>
      </w:pPr>
    </w:p>
    <w:p>
      <w:pPr>
        <w:ind w:left="640" w:right="140" w:firstLine="5"/>
        <w:spacing w:after="0" w:line="263" w:lineRule="auto"/>
        <w:tabs>
          <w:tab w:leader="none" w:pos="152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 no event shall an asserted violation of the provisions of this Section 6.3 constitute a basis for deferring or withholding any amounts otherwise payable to the Executive under this Agreement.</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Release and Agreement</w:t>
      </w:r>
      <w:r>
        <w:rPr>
          <w:rFonts w:ascii="Arial" w:cs="Arial" w:eastAsia="Arial" w:hAnsi="Arial"/>
          <w:sz w:val="19"/>
          <w:szCs w:val="19"/>
          <w:color w:val="auto"/>
        </w:rPr>
        <w:t>. As a condition to the receipt of any compensation and benefits under this Severance Agreement, if the Executive’s employment with the Company is subject to a Qualifying Termination, the Executive must first execute a release and agreement (“</w:t>
      </w:r>
      <w:r>
        <w:rPr>
          <w:rFonts w:ascii="Arial" w:cs="Arial" w:eastAsia="Arial" w:hAnsi="Arial"/>
          <w:sz w:val="19"/>
          <w:szCs w:val="19"/>
          <w:u w:val="single" w:color="auto"/>
          <w:color w:val="auto"/>
        </w:rPr>
        <w:t>Release</w:t>
      </w:r>
      <w:r>
        <w:rPr>
          <w:rFonts w:ascii="Arial" w:cs="Arial" w:eastAsia="Arial" w:hAnsi="Arial"/>
          <w:sz w:val="19"/>
          <w:szCs w:val="19"/>
          <w:color w:val="auto"/>
        </w:rPr>
        <w:t>”), in a reasonable commercial form, which shall release the Company and its subsidiaries and their officers, directors, employees and agents from any and all claims or causes of action arising out of the Executive’s employment with the Company or its subsidiaries on the termination of such employment and thereafter not revoke the Release; provided, however, that the Release shall not release the Company or its subsidiaries from their respective obligations under this Agreement, or their respective obligations to the Executive with respect to rights of indemnification or contribution, whether under this Agreement, the Certificate of Incorporation or Bylaws of the Company or otherwise. Notwithstanding any provision herein to the contrary, if Executive has not delivered to the Company the executed Release on or before the 170th day after the Date of Termination, Executive shall forfeit all payments and benefits payable under Section 4.1 or 4.2 (other than Accrued Obligations), as applicable; provided however, that Executive shall not forfeit such amounts and benefits if (i) the Company has not delivered to Executive the required Release on or before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2"/>
          <w:szCs w:val="22"/>
          <w:color w:val="auto"/>
        </w:rPr>
        <w:t>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Date of Termination or (ii) such requirement is not necessary to avoid 409A Taxes. If a payment or benefit could otherwise be paid or provided in different calendar years as a result of the Release requirements, such payment shall be paid or provided in</w:t>
      </w:r>
    </w:p>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60"/>
          </w:cols>
          <w:pgMar w:left="900" w:top="375" w:right="239" w:bottom="1440" w:gutter="0" w:footer="0" w:header="0"/>
        </w:sectPr>
      </w:pPr>
    </w:p>
    <w:bookmarkStart w:id="108" w:name="page109"/>
    <w:bookmarkEnd w:id="108"/>
    <w:p>
      <w:pPr>
        <w:jc w:val="both"/>
        <w:ind w:right="260"/>
        <w:spacing w:after="0" w:line="253" w:lineRule="auto"/>
        <w:rPr>
          <w:sz w:val="20"/>
          <w:szCs w:val="20"/>
          <w:color w:val="auto"/>
        </w:rPr>
      </w:pPr>
      <w:r>
        <w:rPr>
          <w:rFonts w:ascii="Arial" w:cs="Arial" w:eastAsia="Arial" w:hAnsi="Arial"/>
          <w:sz w:val="22"/>
          <w:szCs w:val="22"/>
          <w:color w:val="auto"/>
        </w:rPr>
        <w:t>the later calendar year. The performance of the Company’s obligation herein and the receipt of the payments and benefits provided herein to the Executive shall constitute full settlement of all such claims and causes of action and shall provide consideration for the Release.</w:t>
      </w:r>
    </w:p>
    <w:p>
      <w:pPr>
        <w:spacing w:after="0" w:line="186"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Indemnification: D&amp;O Coverage</w:t>
      </w:r>
    </w:p>
    <w:p>
      <w:pPr>
        <w:spacing w:after="0" w:line="233" w:lineRule="exact"/>
        <w:rPr>
          <w:sz w:val="20"/>
          <w:szCs w:val="20"/>
          <w:color w:val="auto"/>
        </w:rPr>
      </w:pPr>
    </w:p>
    <w:p>
      <w:pPr>
        <w:ind w:left="640" w:firstLine="5"/>
        <w:spacing w:after="0" w:line="284" w:lineRule="auto"/>
        <w:tabs>
          <w:tab w:leader="none" w:pos="106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If the Executive is made a party, is threatened to be made a party, or reasonably anticipates being made a party, to any Proceeding by reason of the fact that Executive is or was a director, officer, member, employee, agent, manager, trustee, consultant or representative (“</w:t>
      </w:r>
      <w:r>
        <w:rPr>
          <w:rFonts w:ascii="Arial" w:cs="Arial" w:eastAsia="Arial" w:hAnsi="Arial"/>
          <w:sz w:val="19"/>
          <w:szCs w:val="19"/>
          <w:u w:val="single" w:color="auto"/>
          <w:color w:val="auto"/>
        </w:rPr>
        <w:t>Agent</w:t>
      </w:r>
      <w:r>
        <w:rPr>
          <w:rFonts w:ascii="Arial" w:cs="Arial" w:eastAsia="Arial" w:hAnsi="Arial"/>
          <w:sz w:val="19"/>
          <w:szCs w:val="19"/>
          <w:color w:val="auto"/>
        </w:rPr>
        <w:t>”) of the Company or any of its Affiliates or is or was serving at the request of the Company or any of its Affiliates, as an Agent of another person or if any Claim is made, is threatened to be made, or is reasonably anticipated to be made, that arises out of or relates to the Executive’s service in any of the foregoing capacities, then the Executive shall promptly notify the Company in writing and be indemnified and held harmless to the fullest extent permitted or authorized by the Certificate of Incorporation or Bylaws of the Company as in effect on the Date of Termination (subject to any limitations imposed by applicable law), against any and all costs, expenses, liabilities and losses (including, without limitation, reasonable attorneys’ and other professional fees and charges, judgments, interest, expenses of investigation, penalties, fines, ERISA excise taxes or penalties and amounts paid or to be paid in settlement) incurred or suffered by the Executive in connection therewith or in connection with seeking to enforce Executive’s rights under this Section 6.5(a), and such indemnification shall continue as to the Executive even if she has ceased to be an Agent of the Company or other person and shall inure to the benefit of the Executive’s heirs, executors and administrators. The failure to give prompt notice shall only reduce the indemnification obligation to the extent, if any, that the Company is damaged by such breach. The Executive shall be entitled to prompt advancement of any and all costs and expenses (including, without limitation, reasonable attorneys’ and other professional fees and charges) incurred by Executive in connection with any such Proceeding or Claim to the fullest extent permitted or authorized by the Certificate of Incorporation or Bylaws of the Company as in effect on the Date of Termination (subject to any limitations imposed by applicable law), any such advancement to be made promptly after Executive gives written notice, supported by reasonable documentation, requesting such advancement. Such notice shall include, to the extent required by applicable law, an undertaking by the Executive to repay the amounts advanced to the extent that Executive is ultimately determined not to be entitled to indemnification against such costs and expenses. Nothing in this Agreement shall operate to limit or extinguish any right to indemnification, advancement of expenses, or contribution that the Executive would otherwise have (including, without limitation, by agreement or under applicable law). For purposes of this Agreement, “</w:t>
      </w:r>
      <w:r>
        <w:rPr>
          <w:rFonts w:ascii="Arial" w:cs="Arial" w:eastAsia="Arial" w:hAnsi="Arial"/>
          <w:sz w:val="19"/>
          <w:szCs w:val="19"/>
          <w:u w:val="single" w:color="auto"/>
          <w:color w:val="auto"/>
        </w:rPr>
        <w:t>Claim</w:t>
      </w:r>
      <w:r>
        <w:rPr>
          <w:rFonts w:ascii="Arial" w:cs="Arial" w:eastAsia="Arial" w:hAnsi="Arial"/>
          <w:sz w:val="19"/>
          <w:szCs w:val="19"/>
          <w:color w:val="auto"/>
        </w:rPr>
        <w:t>” shall include, without limitation, any claim, demand, request, investigation, dispute, controversy, threat, discovery request, or request for testimony or information and “</w:t>
      </w:r>
      <w:r>
        <w:rPr>
          <w:rFonts w:ascii="Arial" w:cs="Arial" w:eastAsia="Arial" w:hAnsi="Arial"/>
          <w:sz w:val="19"/>
          <w:szCs w:val="19"/>
          <w:u w:val="single" w:color="auto"/>
          <w:color w:val="auto"/>
        </w:rPr>
        <w:t>Proceeding</w:t>
      </w:r>
      <w:r>
        <w:rPr>
          <w:rFonts w:ascii="Arial" w:cs="Arial" w:eastAsia="Arial" w:hAnsi="Arial"/>
          <w:sz w:val="19"/>
          <w:szCs w:val="19"/>
          <w:color w:val="auto"/>
        </w:rPr>
        <w:t>” shall include, without limitation, any actual, threatened, or reasonably anticipated, action, suit 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20"/>
          </w:cols>
          <w:pgMar w:left="900" w:top="375" w:right="27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22"/>
          <w:szCs w:val="22"/>
          <w:color w:val="auto"/>
        </w:rPr>
        <w:t>proceeding, whether civil, criminal, administrative, arbitral, investigative, appellate, formal, informal or other.</w:t>
      </w:r>
    </w:p>
    <w:p>
      <w:pPr>
        <w:spacing w:after="0" w:line="220" w:lineRule="exact"/>
        <w:rPr>
          <w:sz w:val="20"/>
          <w:szCs w:val="20"/>
          <w:color w:val="auto"/>
        </w:rPr>
      </w:pPr>
    </w:p>
    <w:p>
      <w:pPr>
        <w:ind w:left="640" w:firstLine="5"/>
        <w:spacing w:after="0" w:line="264" w:lineRule="auto"/>
        <w:tabs>
          <w:tab w:leader="none" w:pos="1072" w:val="left"/>
        </w:tabs>
        <w:numPr>
          <w:ilvl w:val="0"/>
          <w:numId w:val="124"/>
        </w:numPr>
        <w:rPr>
          <w:rFonts w:ascii="Arial" w:cs="Arial" w:eastAsia="Arial" w:hAnsi="Arial"/>
          <w:sz w:val="21"/>
          <w:szCs w:val="21"/>
          <w:color w:val="auto"/>
        </w:rPr>
      </w:pPr>
      <w:r>
        <w:rPr>
          <w:rFonts w:ascii="Arial" w:cs="Arial" w:eastAsia="Arial" w:hAnsi="Arial"/>
          <w:sz w:val="21"/>
          <w:szCs w:val="21"/>
          <w:color w:val="auto"/>
        </w:rPr>
        <w:t>Neither the failure of the Company (including its Board, independent legal counsel or stockholders) to have made a determination prior to the commencement of any Proceeding concerning payment of amounts claimed by the Executive under Section 6.5(a) that indemnification of the Executive is proper because Executive has met the applicable standard of conduct, nor a determination by the Company (including its Board, independent legal counsel or stockholders) that the Executive has not met such applicable standard of conduct, shall create a presumption that the Executive has not met the applicable standard of conduct.</w:t>
      </w:r>
    </w:p>
    <w:p>
      <w:pPr>
        <w:spacing w:after="0" w:line="175" w:lineRule="exact"/>
        <w:rPr>
          <w:rFonts w:ascii="Arial" w:cs="Arial" w:eastAsia="Arial" w:hAnsi="Arial"/>
          <w:sz w:val="21"/>
          <w:szCs w:val="21"/>
          <w:color w:val="auto"/>
        </w:rPr>
      </w:pPr>
    </w:p>
    <w:p>
      <w:pPr>
        <w:jc w:val="both"/>
        <w:ind w:left="640" w:firstLine="5"/>
        <w:spacing w:after="0" w:line="270" w:lineRule="auto"/>
        <w:tabs>
          <w:tab w:leader="none" w:pos="106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 directors’ and officers’ liability insurance policy (or policies) shall be kept in place until the sixth anniversary of the Date of Termination, providing coverage to the Executive that is no less favorable to Executive in any respect (including with respect to scope, exclusions, amounts, and deductibles) than the coverage then being provided to any other present or former senior executive or director of the Company.</w:t>
      </w:r>
    </w:p>
    <w:p>
      <w:pPr>
        <w:spacing w:after="0" w:line="169"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33" w:lineRule="exact"/>
        <w:rPr>
          <w:sz w:val="20"/>
          <w:szCs w:val="20"/>
          <w:color w:val="auto"/>
        </w:rPr>
      </w:pPr>
    </w:p>
    <w:p>
      <w:pPr>
        <w:ind w:left="640" w:right="80" w:firstLine="5"/>
        <w:spacing w:after="0" w:line="278" w:lineRule="auto"/>
        <w:tabs>
          <w:tab w:leader="none" w:pos="10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60" w:lineRule="exact"/>
        <w:rPr>
          <w:rFonts w:ascii="Arial" w:cs="Arial" w:eastAsia="Arial" w:hAnsi="Arial"/>
          <w:sz w:val="21"/>
          <w:szCs w:val="21"/>
          <w:color w:val="auto"/>
        </w:rPr>
      </w:pPr>
    </w:p>
    <w:p>
      <w:pPr>
        <w:ind w:left="1080" w:hanging="435"/>
        <w:spacing w:after="0"/>
        <w:tabs>
          <w:tab w:leader="none" w:pos="108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binding upon the Company and its successors and assigns.</w:t>
      </w:r>
    </w:p>
    <w:p>
      <w:pPr>
        <w:spacing w:after="0" w:line="267" w:lineRule="exact"/>
        <w:rPr>
          <w:rFonts w:ascii="Arial" w:cs="Arial" w:eastAsia="Arial" w:hAnsi="Arial"/>
          <w:sz w:val="19"/>
          <w:szCs w:val="19"/>
          <w:color w:val="auto"/>
        </w:rPr>
      </w:pPr>
    </w:p>
    <w:p>
      <w:pPr>
        <w:ind w:left="640" w:right="100" w:firstLine="5"/>
        <w:spacing w:after="0" w:line="254" w:lineRule="auto"/>
        <w:tabs>
          <w:tab w:leader="none" w:pos="10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85"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Statements Concerning Company or Executive</w:t>
      </w:r>
      <w:r>
        <w:rPr>
          <w:rFonts w:ascii="Arial" w:cs="Arial" w:eastAsia="Arial" w:hAnsi="Arial"/>
          <w:sz w:val="21"/>
          <w:szCs w:val="21"/>
          <w:color w:val="auto"/>
        </w:rPr>
        <w:t>. The Executive shall refrain from willfully and knowingly making any public statement, whether oral or written, about the Company, any of its Affiliates, any Executive Officer or any Board Member, that is disparaging or defamatory to any such person. The Company shall use best commercial efforts to cause each Executive Officer and Board Member to refrain from making any public statement, whether oral or written, that is disparaging or defamatory to the Executive. For purposes of this Section 6.7, an “</w:t>
      </w:r>
      <w:r>
        <w:rPr>
          <w:rFonts w:ascii="Arial" w:cs="Arial" w:eastAsia="Arial" w:hAnsi="Arial"/>
          <w:sz w:val="21"/>
          <w:szCs w:val="21"/>
          <w:u w:val="single" w:color="auto"/>
          <w:color w:val="auto"/>
        </w:rPr>
        <w:t>Executive Officer</w:t>
      </w:r>
      <w:r>
        <w:rPr>
          <w:rFonts w:ascii="Arial" w:cs="Arial" w:eastAsia="Arial" w:hAnsi="Arial"/>
          <w:sz w:val="21"/>
          <w:szCs w:val="21"/>
          <w:color w:val="auto"/>
        </w:rPr>
        <w:t>” is the CEO and any officer directly reporting to the CEO, and a “</w:t>
      </w:r>
      <w:r>
        <w:rPr>
          <w:rFonts w:ascii="Arial" w:cs="Arial" w:eastAsia="Arial" w:hAnsi="Arial"/>
          <w:sz w:val="21"/>
          <w:szCs w:val="21"/>
          <w:u w:val="single" w:color="auto"/>
          <w:color w:val="auto"/>
        </w:rPr>
        <w:t>Board Member</w:t>
      </w:r>
      <w:r>
        <w:rPr>
          <w:rFonts w:ascii="Arial" w:cs="Arial" w:eastAsia="Arial" w:hAnsi="Arial"/>
          <w:sz w:val="21"/>
          <w:szCs w:val="21"/>
          <w:color w:val="auto"/>
        </w:rPr>
        <w:t>” is any individual that is a member of the Board. A violation or threatened violation of any of the above prohibitions may be enjoined by any court with jurisdiction. The rights afforded under this provision are in addition to any and all rights otherwise afforded by applicable law. Nothing shall prevent the Executive or the Company from truthfully and publicly</w:t>
      </w:r>
    </w:p>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40"/>
          </w:cols>
          <w:pgMar w:left="900" w:top="375" w:right="259" w:bottom="1440" w:gutter="0" w:footer="0" w:header="0"/>
        </w:sectPr>
      </w:pPr>
    </w:p>
    <w:bookmarkStart w:id="110" w:name="page111"/>
    <w:bookmarkEnd w:id="110"/>
    <w:p>
      <w:pPr>
        <w:ind w:right="60"/>
        <w:spacing w:after="0" w:line="250" w:lineRule="auto"/>
        <w:rPr>
          <w:sz w:val="20"/>
          <w:szCs w:val="20"/>
          <w:color w:val="auto"/>
        </w:rPr>
      </w:pPr>
      <w:r>
        <w:rPr>
          <w:rFonts w:ascii="Arial" w:cs="Arial" w:eastAsia="Arial" w:hAnsi="Arial"/>
          <w:sz w:val="22"/>
          <w:szCs w:val="22"/>
          <w:color w:val="auto"/>
        </w:rPr>
        <w:t>correcting incorrect statements or from making truthful disclosures to the extent required (i) by law, by a government agency having supervisory authority over the business of the Company or any of its Affiliates or by any arbitrator, mediator or administrative or legislative body (including a committee thereof) with apparent jurisdiction or (ii) to enforce this Agreement.</w:t>
      </w:r>
    </w:p>
    <w:p>
      <w:pPr>
        <w:spacing w:after="0" w:line="188" w:lineRule="exact"/>
        <w:rPr>
          <w:sz w:val="20"/>
          <w:szCs w:val="20"/>
          <w:color w:val="auto"/>
        </w:rPr>
      </w:pPr>
    </w:p>
    <w:p>
      <w:pPr>
        <w:ind w:right="480"/>
        <w:spacing w:after="0" w:line="320"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(i) personal delivery, (ii) registered or certified mail, return receipt requested, postage prepaid, addressed as indicated below or (iii) nationally recognized overnight courier, with written confirmation of receipt, addressed as indicated below:</w:t>
      </w:r>
    </w:p>
    <w:p>
      <w:pPr>
        <w:spacing w:after="0" w:line="125" w:lineRule="exact"/>
        <w:rPr>
          <w:sz w:val="20"/>
          <w:szCs w:val="20"/>
          <w:color w:val="auto"/>
        </w:rPr>
      </w:pPr>
    </w:p>
    <w:p>
      <w:pPr>
        <w:ind w:left="1940"/>
        <w:spacing w:after="0"/>
        <w:rPr>
          <w:sz w:val="20"/>
          <w:szCs w:val="20"/>
          <w:color w:val="auto"/>
        </w:rPr>
      </w:pPr>
      <w:r>
        <w:rPr>
          <w:rFonts w:ascii="Arial" w:cs="Arial" w:eastAsia="Arial" w:hAnsi="Arial"/>
          <w:sz w:val="22"/>
          <w:szCs w:val="22"/>
          <w:u w:val="single" w:color="auto"/>
          <w:color w:val="auto"/>
        </w:rPr>
        <w:t>If to the Executive:</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Home address as currently shown on</w:t>
      </w:r>
    </w:p>
    <w:p>
      <w:pPr>
        <w:spacing w:after="0" w:line="1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Human Resources Department records of</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Executive’s business unit. The current home</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address is:</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w:t>
      </w:r>
    </w:p>
    <w:p>
      <w:pPr>
        <w:spacing w:after="0" w:line="1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w:t>
      </w:r>
    </w:p>
    <w:p>
      <w:pPr>
        <w:spacing w:after="0" w:line="1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w:t>
      </w:r>
    </w:p>
    <w:p>
      <w:pPr>
        <w:spacing w:after="0" w:line="215" w:lineRule="exact"/>
        <w:rPr>
          <w:sz w:val="20"/>
          <w:szCs w:val="20"/>
          <w:color w:val="auto"/>
        </w:rPr>
      </w:pPr>
    </w:p>
    <w:p>
      <w:pPr>
        <w:ind w:left="1940"/>
        <w:spacing w:after="0"/>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Crown Castle International Corp.</w:t>
      </w:r>
    </w:p>
    <w:p>
      <w:pPr>
        <w:spacing w:after="0" w:line="1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1220 Augusta Drive, Suite 600</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Houston, Texas 77057</w:t>
      </w:r>
    </w:p>
    <w:p>
      <w:pPr>
        <w:spacing w:after="0" w:line="4" w:lineRule="exact"/>
        <w:rPr>
          <w:sz w:val="20"/>
          <w:szCs w:val="20"/>
          <w:color w:val="auto"/>
        </w:rPr>
      </w:pPr>
    </w:p>
    <w:p>
      <w:pPr>
        <w:ind w:left="1940"/>
        <w:spacing w:after="0"/>
        <w:tabs>
          <w:tab w:leader="none" w:pos="3020" w:val="left"/>
        </w:tabs>
        <w:rPr>
          <w:sz w:val="20"/>
          <w:szCs w:val="20"/>
          <w:color w:val="auto"/>
        </w:rPr>
      </w:pPr>
      <w:r>
        <w:rPr>
          <w:rFonts w:ascii="Arial" w:cs="Arial" w:eastAsia="Arial" w:hAnsi="Arial"/>
          <w:sz w:val="22"/>
          <w:szCs w:val="22"/>
          <w:color w:val="auto"/>
        </w:rPr>
        <w:t>Attention:</w:t>
        <w:tab/>
        <w:t>General Counsel/Corporate Secretary</w:t>
      </w:r>
    </w:p>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A party may change address by written notice of such change in accordance herewith. Notice and communications shall be effective when actually received by the addressee.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Stock Retention</w:t>
      </w:r>
      <w:r>
        <w:rPr>
          <w:rFonts w:ascii="Arial" w:cs="Arial" w:eastAsia="Arial" w:hAnsi="Arial"/>
          <w:sz w:val="21"/>
          <w:szCs w:val="21"/>
          <w:color w:val="auto"/>
        </w:rPr>
        <w:t>. Executive acknowledges that the Company has established certain guidelines relating to the retention of a minimum number of shares of Company common stock (“</w:t>
      </w:r>
      <w:r>
        <w:rPr>
          <w:rFonts w:ascii="Arial" w:cs="Arial" w:eastAsia="Arial" w:hAnsi="Arial"/>
          <w:sz w:val="21"/>
          <w:szCs w:val="21"/>
          <w:u w:val="single" w:color="auto"/>
          <w:color w:val="auto"/>
        </w:rPr>
        <w:t>Retained Stock</w:t>
      </w:r>
      <w:r>
        <w:rPr>
          <w:rFonts w:ascii="Arial" w:cs="Arial" w:eastAsia="Arial" w:hAnsi="Arial"/>
          <w:sz w:val="21"/>
          <w:szCs w:val="21"/>
          <w:color w:val="auto"/>
        </w:rPr>
        <w:t>”) during the employment of the executive officers by the Company (including any of its subsidiaries) and that such guidelines will be applicable to Executive. Such guidelines shall permit the Executive to sell shares of Company common stock, including Retained Stock, in order to satisfy any taxes arising from the receipt by the Executive of Company common stock pursuant to any Stock Option or Restricted Stock Award, and shall not require the Executive to purchase any shares of Company common stock. The number of shares of Retained Stock shall be adjusted for stock splits, stock dividends, spin offs and other relevant changes in the Company’s capital structure. Retained Stock shall include (i) restricted stock issued to Executive that is no longer subject to a forfeiture restriction, (ii) stock held in an individual retirement account, 401(k) plan or other qualified plan pursuant to the Code for the primary benefit of the Executive and/or Executive’s spouse and (iii) stock held by the Executive’s spouse. Restricted stock granted to the Executive by the Company that is subject to forfeiture restrictions shall not be counted as Retained Stock.</w:t>
      </w:r>
    </w:p>
    <w:p>
      <w:pPr>
        <w:spacing w:after="0" w:line="200" w:lineRule="exact"/>
        <w:rPr>
          <w:sz w:val="20"/>
          <w:szCs w:val="20"/>
          <w:color w:val="auto"/>
        </w:rPr>
      </w:pPr>
    </w:p>
    <w:p>
      <w:pPr>
        <w:spacing w:after="0" w:line="22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40"/>
          </w:cols>
          <w:pgMar w:left="900" w:top="375" w:right="259" w:bottom="1440" w:gutter="0" w:footer="0" w:header="0"/>
        </w:sectPr>
      </w:pPr>
    </w:p>
    <w:bookmarkStart w:id="111" w:name="page112"/>
    <w:bookmarkEnd w:id="111"/>
    <w:p>
      <w:pPr>
        <w:ind w:left="620" w:right="440"/>
        <w:spacing w:after="0" w:line="276"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61" w:lineRule="exact"/>
        <w:rPr>
          <w:sz w:val="20"/>
          <w:szCs w:val="20"/>
          <w:color w:val="auto"/>
        </w:rPr>
      </w:pPr>
    </w:p>
    <w:p>
      <w:pPr>
        <w:ind w:left="620" w:right="460"/>
        <w:spacing w:after="0" w:line="301"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Withholding</w:t>
      </w:r>
      <w:r>
        <w:rPr>
          <w:rFonts w:ascii="Arial" w:cs="Arial" w:eastAsia="Arial" w:hAnsi="Arial"/>
          <w:sz w:val="21"/>
          <w:szCs w:val="21"/>
          <w:color w:val="auto"/>
        </w:rPr>
        <w:t>. The Company may withhold from any amount payable under this Agreement such Federal, state or local taxes as shall be required to be withheld pursuant to any applicable law or regulation.</w:t>
      </w:r>
    </w:p>
    <w:p>
      <w:pPr>
        <w:spacing w:after="0" w:line="137" w:lineRule="exact"/>
        <w:rPr>
          <w:sz w:val="20"/>
          <w:szCs w:val="20"/>
          <w:color w:val="auto"/>
        </w:rPr>
      </w:pPr>
    </w:p>
    <w:p>
      <w:pPr>
        <w:ind w:left="620" w:right="20"/>
        <w:spacing w:after="0" w:line="276"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Waiver</w:t>
      </w:r>
      <w:r>
        <w:rPr>
          <w:rFonts w:ascii="Arial" w:cs="Arial" w:eastAsia="Arial" w:hAnsi="Arial"/>
          <w:sz w:val="22"/>
          <w:szCs w:val="22"/>
          <w:color w:val="auto"/>
        </w:rPr>
        <w:t>. The Executive’s failure to insist upon strict compliance with any provision hereof shall not be deemed to be a waiver of such provision or any other provision thereof.</w:t>
      </w:r>
    </w:p>
    <w:p>
      <w:pPr>
        <w:spacing w:after="0" w:line="161" w:lineRule="exact"/>
        <w:rPr>
          <w:sz w:val="20"/>
          <w:szCs w:val="20"/>
          <w:color w:val="auto"/>
        </w:rPr>
      </w:pPr>
    </w:p>
    <w:p>
      <w:pPr>
        <w:ind w:left="620" w:right="80"/>
        <w:spacing w:after="0" w:line="276"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understanding of the Company and the Executive with respect to the subject matter hereof.</w:t>
      </w:r>
    </w:p>
    <w:p>
      <w:pPr>
        <w:spacing w:after="0" w:line="161" w:lineRule="exact"/>
        <w:rPr>
          <w:sz w:val="20"/>
          <w:szCs w:val="20"/>
          <w:color w:val="auto"/>
        </w:rPr>
      </w:pPr>
    </w:p>
    <w:p>
      <w:pPr>
        <w:ind w:left="620" w:right="360"/>
        <w:spacing w:after="0" w:line="276"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22"/>
          <w:szCs w:val="22"/>
          <w:u w:val="single" w:color="auto"/>
          <w:color w:val="auto"/>
        </w:rPr>
        <w:t>At Will Employment</w:t>
      </w:r>
      <w:r>
        <w:rPr>
          <w:rFonts w:ascii="Arial" w:cs="Arial" w:eastAsia="Arial" w:hAnsi="Arial"/>
          <w:sz w:val="22"/>
          <w:szCs w:val="22"/>
          <w:color w:val="auto"/>
        </w:rPr>
        <w:t>. The Executive and the Company acknowledge that the employment of the Executive by the Company is “at will”.</w:t>
      </w:r>
    </w:p>
    <w:p>
      <w:pPr>
        <w:spacing w:after="0" w:line="161"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19"/>
          <w:szCs w:val="19"/>
          <w:u w:val="single" w:color="auto"/>
          <w:color w:val="auto"/>
        </w:rPr>
        <w:t>Choice of Law</w:t>
      </w:r>
      <w:r>
        <w:rPr>
          <w:rFonts w:ascii="Arial" w:cs="Arial" w:eastAsia="Arial" w:hAnsi="Arial"/>
          <w:sz w:val="19"/>
          <w:szCs w:val="19"/>
          <w:color w:val="auto"/>
        </w:rPr>
        <w:t>. This Agreement shall be governed by the law of Texas, without regard to its choice of law provisions.</w:t>
      </w:r>
    </w:p>
    <w:p>
      <w:pPr>
        <w:spacing w:after="0" w:line="233"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2"/>
          <w:szCs w:val="22"/>
          <w:color w:val="auto"/>
        </w:rPr>
        <w:t>6.16</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w:t>
      </w:r>
    </w:p>
    <w:p>
      <w:pPr>
        <w:spacing w:after="0" w:line="233" w:lineRule="exact"/>
        <w:rPr>
          <w:sz w:val="20"/>
          <w:szCs w:val="20"/>
          <w:color w:val="auto"/>
        </w:rPr>
      </w:pPr>
    </w:p>
    <w:p>
      <w:pPr>
        <w:ind w:left="620" w:right="260"/>
        <w:spacing w:after="0" w:line="263" w:lineRule="auto"/>
        <w:rPr>
          <w:sz w:val="20"/>
          <w:szCs w:val="20"/>
          <w:color w:val="auto"/>
        </w:rPr>
      </w:pPr>
      <w:r>
        <w:rPr>
          <w:rFonts w:ascii="Arial" w:cs="Arial" w:eastAsia="Arial" w:hAnsi="Arial"/>
          <w:sz w:val="22"/>
          <w:szCs w:val="22"/>
          <w:color w:val="auto"/>
        </w:rPr>
        <w:t>IN WITNESS WHEREOF, the Executive and the Company have entered into this Agreement effective as of the date first written above in multiple originals.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gridSpan w:val="3"/>
          </w:tcPr>
          <w:p>
            <w:pPr>
              <w:spacing w:after="0"/>
              <w:rPr>
                <w:sz w:val="20"/>
                <w:szCs w:val="20"/>
                <w:color w:val="auto"/>
              </w:rPr>
            </w:pPr>
            <w:r>
              <w:rPr>
                <w:rFonts w:ascii="Arial" w:cs="Arial" w:eastAsia="Arial" w:hAnsi="Arial"/>
                <w:sz w:val="22"/>
                <w:szCs w:val="22"/>
                <w:b w:val="1"/>
                <w:bCs w:val="1"/>
                <w:color w:val="auto"/>
              </w:rPr>
              <w:t>COMPANY:</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22"/>
                <w:szCs w:val="22"/>
                <w:b w:val="1"/>
                <w:bCs w:val="1"/>
                <w:color w:val="auto"/>
              </w:rPr>
              <w:t>EXECUTIVE:</w:t>
            </w:r>
          </w:p>
        </w:tc>
      </w:tr>
      <w:tr>
        <w:trPr>
          <w:trHeight w:val="275"/>
        </w:trPr>
        <w:tc>
          <w:tcPr>
            <w:tcW w:w="4840" w:type="dxa"/>
            <w:vAlign w:val="bottom"/>
            <w:gridSpan w:val="3"/>
          </w:tcPr>
          <w:p>
            <w:pPr>
              <w:spacing w:after="0"/>
              <w:rPr>
                <w:sz w:val="20"/>
                <w:szCs w:val="20"/>
                <w:color w:val="auto"/>
              </w:rPr>
            </w:pPr>
            <w:r>
              <w:rPr>
                <w:rFonts w:ascii="Arial" w:cs="Arial" w:eastAsia="Arial" w:hAnsi="Arial"/>
                <w:sz w:val="22"/>
                <w:szCs w:val="22"/>
                <w:color w:val="auto"/>
              </w:rPr>
              <w:t>CROWN CASTLE INTERNATIONAL CORP.</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60" w:type="dxa"/>
            <w:vAlign w:val="bottom"/>
          </w:tcPr>
          <w:p>
            <w:pPr>
              <w:spacing w:after="0"/>
              <w:rPr>
                <w:sz w:val="23"/>
                <w:szCs w:val="23"/>
                <w:color w:val="auto"/>
              </w:rPr>
            </w:pPr>
          </w:p>
        </w:tc>
      </w:tr>
      <w:tr>
        <w:trPr>
          <w:trHeight w:val="551"/>
        </w:trPr>
        <w:tc>
          <w:tcPr>
            <w:tcW w:w="4840" w:type="dxa"/>
            <w:vAlign w:val="bottom"/>
            <w:gridSpan w:val="3"/>
          </w:tcPr>
          <w:p>
            <w:pPr>
              <w:spacing w:after="0"/>
              <w:rPr>
                <w:sz w:val="20"/>
                <w:szCs w:val="20"/>
                <w:color w:val="auto"/>
              </w:rPr>
            </w:pPr>
            <w:r>
              <w:rPr>
                <w:rFonts w:ascii="Arial" w:cs="Arial" w:eastAsia="Arial" w:hAnsi="Arial"/>
                <w:sz w:val="22"/>
                <w:szCs w:val="22"/>
                <w:color w:val="auto"/>
              </w:rPr>
              <w:t>By:</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77"/>
        </w:trPr>
        <w:tc>
          <w:tcPr>
            <w:tcW w:w="540" w:type="dxa"/>
            <w:vAlign w:val="bottom"/>
          </w:tcPr>
          <w:p>
            <w:pPr>
              <w:spacing w:after="0"/>
              <w:rPr>
                <w:sz w:val="20"/>
                <w:szCs w:val="20"/>
                <w:color w:val="auto"/>
              </w:rPr>
            </w:pPr>
            <w:r>
              <w:rPr>
                <w:rFonts w:ascii="Arial" w:cs="Arial" w:eastAsia="Arial" w:hAnsi="Arial"/>
                <w:sz w:val="22"/>
                <w:szCs w:val="22"/>
                <w:color w:val="auto"/>
                <w:w w:val="80"/>
              </w:rPr>
              <w:t>Name:</w:t>
            </w:r>
          </w:p>
        </w:tc>
        <w:tc>
          <w:tcPr>
            <w:tcW w:w="4300" w:type="dxa"/>
            <w:vAlign w:val="bottom"/>
            <w:tcBorders>
              <w:top w:val="single" w:sz="8" w:color="auto"/>
            </w:tcBorders>
            <w:gridSpan w:val="2"/>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560" w:type="dxa"/>
            <w:vAlign w:val="bottom"/>
            <w:tcBorders>
              <w:top w:val="single" w:sz="8" w:color="auto"/>
            </w:tcBorders>
          </w:tcPr>
          <w:p>
            <w:pPr>
              <w:spacing w:after="0"/>
              <w:rPr>
                <w:sz w:val="24"/>
                <w:szCs w:val="24"/>
                <w:color w:val="auto"/>
              </w:rPr>
            </w:pPr>
          </w:p>
        </w:tc>
      </w:tr>
      <w:tr>
        <w:trPr>
          <w:trHeight w:val="277"/>
        </w:trPr>
        <w:tc>
          <w:tcPr>
            <w:tcW w:w="900" w:type="dxa"/>
            <w:vAlign w:val="bottom"/>
            <w:gridSpan w:val="2"/>
          </w:tcPr>
          <w:p>
            <w:pPr>
              <w:spacing w:after="0"/>
              <w:rPr>
                <w:sz w:val="20"/>
                <w:szCs w:val="20"/>
                <w:color w:val="auto"/>
              </w:rPr>
            </w:pPr>
            <w:r>
              <w:rPr>
                <w:rFonts w:ascii="Arial" w:cs="Arial" w:eastAsia="Arial" w:hAnsi="Arial"/>
                <w:sz w:val="22"/>
                <w:szCs w:val="22"/>
                <w:color w:val="auto"/>
              </w:rPr>
              <w:t>Date:</w:t>
            </w:r>
          </w:p>
        </w:tc>
        <w:tc>
          <w:tcPr>
            <w:tcW w:w="39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Date:</w:t>
            </w:r>
          </w:p>
        </w:tc>
        <w:tc>
          <w:tcPr>
            <w:tcW w:w="4560" w:type="dxa"/>
            <w:vAlign w:val="bottom"/>
            <w:tcBorders>
              <w:bottom w:val="single" w:sz="8" w:color="auto"/>
            </w:tcBorders>
          </w:tcPr>
          <w:p>
            <w:pPr>
              <w:spacing w:after="0"/>
              <w:rPr>
                <w:sz w:val="24"/>
                <w:szCs w:val="24"/>
                <w:color w:val="auto"/>
              </w:rPr>
            </w:pPr>
          </w:p>
        </w:tc>
      </w:tr>
      <w:tr>
        <w:trPr>
          <w:trHeight w:val="76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2"/>
                <w:szCs w:val="22"/>
                <w:color w:val="auto"/>
              </w:rPr>
              <w:t>16</w:t>
            </w: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380"/>
          </w:cols>
          <w:pgMar w:left="280" w:top="375" w:right="239" w:bottom="1440" w:gutter="0" w:footer="0" w:header="0"/>
        </w:sectPr>
      </w:pPr>
    </w:p>
    <w:bookmarkStart w:id="112" w:name="page113"/>
    <w:bookmarkEnd w:id="112"/>
    <w:p>
      <w:pPr>
        <w:ind w:left="4420"/>
        <w:spacing w:after="0"/>
        <w:rPr>
          <w:sz w:val="20"/>
          <w:szCs w:val="20"/>
          <w:color w:val="auto"/>
        </w:rPr>
      </w:pPr>
      <w:r>
        <w:rPr>
          <w:rFonts w:ascii="Arial" w:cs="Arial" w:eastAsia="Arial" w:hAnsi="Arial"/>
          <w:sz w:val="22"/>
          <w:szCs w:val="22"/>
          <w:color w:val="auto"/>
        </w:rPr>
        <w:t>SCHEDULE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“Change in Control” shall mean:</w:t>
      </w:r>
    </w:p>
    <w:p>
      <w:pPr>
        <w:spacing w:after="0" w:line="220" w:lineRule="exact"/>
        <w:rPr>
          <w:sz w:val="20"/>
          <w:szCs w:val="20"/>
          <w:color w:val="auto"/>
        </w:rPr>
      </w:pPr>
    </w:p>
    <w:p>
      <w:pPr>
        <w:ind w:left="640" w:firstLine="5"/>
        <w:spacing w:after="0" w:line="288" w:lineRule="auto"/>
        <w:tabs>
          <w:tab w:leader="none" w:pos="106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Sections 13 (d) (3) or 14 (d) (2) of the Securities Exchange Act of 1934, as amended (the “</w:t>
      </w:r>
      <w:r>
        <w:rPr>
          <w:rFonts w:ascii="Arial" w:cs="Arial" w:eastAsia="Arial" w:hAnsi="Arial"/>
          <w:sz w:val="19"/>
          <w:szCs w:val="19"/>
          <w:u w:val="single" w:color="auto"/>
          <w:color w:val="auto"/>
        </w:rPr>
        <w:t>Exchange</w:t>
      </w:r>
      <w:r>
        <w:rPr>
          <w:rFonts w:ascii="Arial" w:cs="Arial" w:eastAsia="Arial" w:hAnsi="Arial"/>
          <w:sz w:val="19"/>
          <w:szCs w:val="19"/>
          <w:color w:val="auto"/>
        </w:rPr>
        <w:t xml:space="preserve"> Act”)) (a “</w:t>
      </w:r>
      <w:r>
        <w:rPr>
          <w:rFonts w:ascii="Arial" w:cs="Arial" w:eastAsia="Arial" w:hAnsi="Arial"/>
          <w:sz w:val="19"/>
          <w:szCs w:val="19"/>
          <w:u w:val="single" w:color="auto"/>
          <w:color w:val="auto"/>
        </w:rPr>
        <w:t>Person</w:t>
      </w:r>
      <w:r>
        <w:rPr>
          <w:rFonts w:ascii="Arial" w:cs="Arial" w:eastAsia="Arial" w:hAnsi="Arial"/>
          <w:sz w:val="19"/>
          <w:szCs w:val="19"/>
          <w:color w:val="auto"/>
        </w:rPr>
        <w:t>”) of beneficial ownership (within the meaning of Rule 13d-3 promulgated under the Exchange Act) of 40% or more of either (i) the then outstanding shares of common stock of the Company (the “</w:t>
      </w:r>
      <w:r>
        <w:rPr>
          <w:rFonts w:ascii="Arial" w:cs="Arial" w:eastAsia="Arial" w:hAnsi="Arial"/>
          <w:sz w:val="19"/>
          <w:szCs w:val="19"/>
          <w:u w:val="single" w:color="auto"/>
          <w:color w:val="auto"/>
        </w:rPr>
        <w:t>Outstanding Company Common Stock</w:t>
      </w:r>
      <w:r>
        <w:rPr>
          <w:rFonts w:ascii="Arial" w:cs="Arial" w:eastAsia="Arial" w:hAnsi="Arial"/>
          <w:sz w:val="19"/>
          <w:szCs w:val="19"/>
          <w:color w:val="auto"/>
        </w:rPr>
        <w:t>”) or (ii) the combined voting power of the then outstanding voting securities of the Company entitled to vote generally in the election of directors (the “</w:t>
      </w:r>
      <w:r>
        <w:rPr>
          <w:rFonts w:ascii="Arial" w:cs="Arial" w:eastAsia="Arial" w:hAnsi="Arial"/>
          <w:sz w:val="19"/>
          <w:szCs w:val="19"/>
          <w:u w:val="single" w:color="auto"/>
          <w:color w:val="auto"/>
        </w:rPr>
        <w:t>Outstanding Company Voting Securities</w:t>
      </w:r>
      <w:r>
        <w:rPr>
          <w:rFonts w:ascii="Arial" w:cs="Arial" w:eastAsia="Arial" w:hAnsi="Arial"/>
          <w:sz w:val="19"/>
          <w:szCs w:val="19"/>
          <w:color w:val="auto"/>
        </w:rPr>
        <w:t>”); provided, however, that the following acquisitions shall not constitute a Change of Control: (i) any acquisition by the Company if no Person (excluding those Persons described in clauses (ii) and (iii) of this proviso) owns 40% or more of the Outstanding Company Common Stock or Company Stock Voting Securities after such acquisition, (ii) any acquisition by any employee benefit plan (or related trust) sponsored or maintained by the Company or any corporation controlled by the Company, or (iii) any acquisition by a corporation pursuant to a reorganization, merger or consolidation, if, following such reorganization, merger or consolidation, the conditions described in clauses (i), (ii) and (iii) of subsection (c), below, are satisfied.;</w:t>
      </w:r>
    </w:p>
    <w:p>
      <w:pPr>
        <w:spacing w:after="0" w:line="162" w:lineRule="exact"/>
        <w:rPr>
          <w:rFonts w:ascii="Arial" w:cs="Arial" w:eastAsia="Arial" w:hAnsi="Arial"/>
          <w:sz w:val="19"/>
          <w:szCs w:val="19"/>
          <w:color w:val="auto"/>
        </w:rPr>
      </w:pPr>
    </w:p>
    <w:p>
      <w:pPr>
        <w:ind w:left="640" w:right="60" w:firstLine="5"/>
        <w:spacing w:after="0" w:line="292" w:lineRule="auto"/>
        <w:tabs>
          <w:tab w:leader="none" w:pos="107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individuals who constitute the Board at the date of this Severance Agreement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spacing w:after="0" w:line="155" w:lineRule="exact"/>
        <w:rPr>
          <w:rFonts w:ascii="Arial" w:cs="Arial" w:eastAsia="Arial" w:hAnsi="Arial"/>
          <w:sz w:val="19"/>
          <w:szCs w:val="19"/>
          <w:color w:val="auto"/>
        </w:rPr>
      </w:pPr>
    </w:p>
    <w:p>
      <w:pPr>
        <w:ind w:left="640" w:right="40" w:firstLine="5"/>
        <w:spacing w:after="0" w:line="292" w:lineRule="auto"/>
        <w:tabs>
          <w:tab w:leader="none" w:pos="106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occurrence of a reorganization, merger or consolidation, unless, following such reorganization, merger or consolidation, (i) more than 50% of, respectively, the then outstanding shares of common stock of the corporation resulting from such reorganization, merger or consolidation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Outstanding Company Voting Securities immediately prior to such reorganization, merger or consolidation in substantially the same proportions as their ownership, immediately prior to such reorganization, merger or consolidation, of the</w:t>
      </w:r>
    </w:p>
    <w:p>
      <w:pPr>
        <w:spacing w:after="0" w:line="39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60"/>
          </w:cols>
          <w:pgMar w:left="900" w:top="375" w:right="239" w:bottom="1440" w:gutter="0" w:footer="0" w:header="0"/>
        </w:sectPr>
      </w:pPr>
    </w:p>
    <w:bookmarkStart w:id="113" w:name="page114"/>
    <w:bookmarkEnd w:id="113"/>
    <w:p>
      <w:pPr>
        <w:ind w:left="100" w:right="120"/>
        <w:spacing w:after="0" w:line="288" w:lineRule="auto"/>
        <w:rPr>
          <w:sz w:val="20"/>
          <w:szCs w:val="20"/>
          <w:color w:val="auto"/>
        </w:rPr>
      </w:pPr>
      <w:r>
        <w:rPr>
          <w:rFonts w:ascii="Arial" w:cs="Arial" w:eastAsia="Arial" w:hAnsi="Arial"/>
          <w:sz w:val="19"/>
          <w:szCs w:val="19"/>
          <w:color w:val="auto"/>
        </w:rPr>
        <w:t>Outstanding Company Common Stock and Outstanding Company Voting Securities, as the case may be, (ii) no Person (excluding the Company, any employee benefit plan (or related trust) of the Company or such corporation resulting from such reorganization, merger or consolidation and any Person beneficially owning, immediately prior to such reorganization, merger or consolidation, directly or indirectly, 40% or more of the Outstanding Company Common Stock or Outstanding Company Voting Securities, as the case may be) beneficially owns, directly or indirectly, 40% or more of, respectively, the then outstanding shares of common stock of the corporation resulting from such reorganization, merger or consolidation or the combined voting power of the then outstanding voting securities of such corporation entitled to vote generally in the election of directors and (iii) at least a majority of the members of the board of directors of the corporation resulting from such reorganization, merger or consolidation were members of the Incumbent Board at the time of the execution of the initial agreement providing for such reorganization, merger or consolidation; or</w:t>
      </w:r>
    </w:p>
    <w:p>
      <w:pPr>
        <w:spacing w:after="0" w:line="155" w:lineRule="exact"/>
        <w:rPr>
          <w:sz w:val="20"/>
          <w:szCs w:val="20"/>
          <w:color w:val="auto"/>
        </w:rPr>
      </w:pPr>
    </w:p>
    <w:p>
      <w:pPr>
        <w:ind w:left="100" w:firstLine="5"/>
        <w:spacing w:after="0" w:line="284" w:lineRule="auto"/>
        <w:tabs>
          <w:tab w:leader="none" w:pos="53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occurrence of: (i) a complete liquidation or dissolution of the Company, (ii) the sale or other disposition of all or substantially all of the assets of the Company, or (iii) a similar transaction or series of transactions, other than to a corporation, with respect to which following such sale or other disposition, (A) more than 50%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Outstanding Company Voting Securities immediately prior to such sale or other disposition in substantially the same proportion as their ownership, immediately prior to such sale or other disposition, of the Outstanding Company Common Stock and Outstanding Company Voting Securities, as the case may be, (B) no Person (excluding the Company and any employee benefit plan (or related trust) of the Company or such corporation and any Person beneficially owning, immediately prior to such sale or other disposition, directly or indirectly, 40% or more of the Outstanding Company Common Stock or Outstanding Company Voting Securities, as the case may be) beneficially owns, directly or indirectly, 40% or more of, respectively, the then outstanding shares of common stock of such corporation and the combined voting power of the then outstanding voting securities of such corporation entitled to vote generally in the election of directors and</w:t>
      </w:r>
    </w:p>
    <w:p>
      <w:pPr>
        <w:spacing w:after="0" w:line="2" w:lineRule="exact"/>
        <w:rPr>
          <w:rFonts w:ascii="Arial" w:cs="Arial" w:eastAsia="Arial" w:hAnsi="Arial"/>
          <w:sz w:val="19"/>
          <w:szCs w:val="19"/>
          <w:color w:val="auto"/>
        </w:rPr>
      </w:pPr>
    </w:p>
    <w:p>
      <w:pPr>
        <w:ind w:left="100" w:right="80"/>
        <w:spacing w:after="0" w:line="245" w:lineRule="auto"/>
        <w:rPr>
          <w:rFonts w:ascii="Arial" w:cs="Arial" w:eastAsia="Arial" w:hAnsi="Arial"/>
          <w:sz w:val="19"/>
          <w:szCs w:val="19"/>
          <w:color w:val="auto"/>
        </w:rPr>
      </w:pPr>
      <w:r>
        <w:rPr>
          <w:rFonts w:ascii="Arial" w:cs="Arial" w:eastAsia="Arial" w:hAnsi="Arial"/>
          <w:sz w:val="22"/>
          <w:szCs w:val="22"/>
          <w:color w:val="auto"/>
        </w:rPr>
        <w:t>(C) at least a majority of the members of the board of directors of such corporation were members of the Incumbent Board at the time of the execution of the initial agreement or action of the Board providing for such sale or other disposition of assets of the Company.</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200"/>
          </w:cols>
          <w:pgMar w:left="1440" w:top="375" w:right="259" w:bottom="1440" w:gutter="0" w:footer="0" w:header="0"/>
        </w:sectPr>
      </w:pPr>
    </w:p>
    <w:bookmarkStart w:id="114" w:name="page115"/>
    <w:bookmarkEnd w:id="114"/>
    <w:p>
      <w:pPr>
        <w:ind w:left="10420"/>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ind w:left="260" w:right="2120"/>
        <w:spacing w:after="0" w:line="263" w:lineRule="auto"/>
        <w:rPr>
          <w:sz w:val="20"/>
          <w:szCs w:val="20"/>
          <w:color w:val="auto"/>
        </w:rPr>
      </w:pPr>
      <w:r>
        <w:rPr>
          <w:rFonts w:ascii="Arial" w:cs="Arial" w:eastAsia="Arial" w:hAnsi="Arial"/>
          <w:sz w:val="18"/>
          <w:szCs w:val="18"/>
          <w:b w:val="1"/>
          <w:bCs w:val="1"/>
          <w:color w:val="auto"/>
        </w:rPr>
        <w:t>CROWN CASTLE INTERNATIONAL CORP. COMPUTATION OF RATIOS OF EARNINGS TO FIXED CHARGES AND EARNINGS TO COMBINED FIXED CHARGES AND PREFERRED STOCK DIVIDENDS (DOLLARS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473,829</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335,070</w:t>
            </w:r>
          </w:p>
        </w:tc>
        <w:tc>
          <w:tcPr>
            <w:tcW w:w="4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251,001</w:t>
            </w:r>
          </w:p>
        </w:tc>
        <w:tc>
          <w:tcPr>
            <w:tcW w:w="10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64,853</w:t>
            </w:r>
          </w:p>
        </w:tc>
        <w:tc>
          <w:tcPr>
            <w:tcW w:w="10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151,196</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Fixed charges (as computed below)</w:t>
            </w:r>
          </w:p>
        </w:tc>
        <w:tc>
          <w:tcPr>
            <w:tcW w:w="280" w:type="dxa"/>
            <w:vAlign w:val="bottom"/>
          </w:tcPr>
          <w:p>
            <w:pPr>
              <w:spacing w:after="0"/>
              <w:rPr>
                <w:sz w:val="24"/>
                <w:szCs w:val="24"/>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750,968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791,386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752,241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717,672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611,522</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Subtract: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CEEFF"/>
          </w:tcPr>
          <w:p>
            <w:pPr>
              <w:spacing w:after="0"/>
              <w:rPr>
                <w:sz w:val="24"/>
                <w:szCs w:val="24"/>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1,219,992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1,123,471</w:t>
            </w:r>
          </w:p>
        </w:tc>
        <w:tc>
          <w:tcPr>
            <w:tcW w:w="4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1,001,410</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780,190</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762,453</w:t>
            </w:r>
          </w:p>
        </w:tc>
        <w:tc>
          <w:tcPr>
            <w:tcW w:w="0" w:type="dxa"/>
            <w:vAlign w:val="bottom"/>
          </w:tcPr>
          <w:p>
            <w:pPr>
              <w:spacing w:after="0"/>
              <w:rPr>
                <w:sz w:val="1"/>
                <w:szCs w:val="1"/>
                <w:color w:val="auto"/>
              </w:rPr>
            </w:pPr>
          </w:p>
        </w:tc>
      </w:tr>
      <w:tr>
        <w:trPr>
          <w:trHeight w:val="108"/>
        </w:trPr>
        <w:tc>
          <w:tcPr>
            <w:tcW w:w="47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vMerge w:val="continue"/>
            <w:shd w:val="clear" w:color="auto" w:fill="CCEEFF"/>
          </w:tcPr>
          <w:p>
            <w:pPr>
              <w:spacing w:after="0"/>
              <w:rPr>
                <w:sz w:val="9"/>
                <w:szCs w:val="9"/>
                <w:color w:val="auto"/>
              </w:rPr>
            </w:pPr>
          </w:p>
        </w:tc>
        <w:tc>
          <w:tcPr>
            <w:tcW w:w="98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tcBorders>
            <w:gridSpan w:val="3"/>
            <w:vMerge w:val="continue"/>
            <w:shd w:val="clear" w:color="auto" w:fill="CCEEFF"/>
          </w:tcPr>
          <w:p>
            <w:pPr>
              <w:spacing w:after="0"/>
              <w:rPr>
                <w:sz w:val="9"/>
                <w:szCs w:val="9"/>
                <w:color w:val="auto"/>
              </w:rPr>
            </w:pPr>
          </w:p>
        </w:tc>
        <w:tc>
          <w:tcPr>
            <w:tcW w:w="100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Computation of fixed charges and combined fixed charges and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preferred stock dividends and losses on purchases of</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487,355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491,581</w:t>
            </w:r>
          </w:p>
        </w:tc>
        <w:tc>
          <w:tcPr>
            <w:tcW w:w="4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491,041</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491,184</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404,968</w:t>
            </w:r>
          </w:p>
        </w:tc>
        <w:tc>
          <w:tcPr>
            <w:tcW w:w="0" w:type="dxa"/>
            <w:vAlign w:val="bottom"/>
          </w:tcPr>
          <w:p>
            <w:pPr>
              <w:spacing w:after="0"/>
              <w:rPr>
                <w:sz w:val="1"/>
                <w:szCs w:val="1"/>
                <w:color w:val="auto"/>
              </w:rPr>
            </w:pPr>
          </w:p>
        </w:tc>
      </w:tr>
      <w:tr>
        <w:trPr>
          <w:trHeight w:val="88"/>
        </w:trPr>
        <w:tc>
          <w:tcPr>
            <w:tcW w:w="470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gridSpan w:val="3"/>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Amortized premiums, discounts and capitalized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81,710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200"/>
              <w:spacing w:after="0"/>
              <w:rPr>
                <w:sz w:val="20"/>
                <w:szCs w:val="20"/>
                <w:color w:val="auto"/>
              </w:rPr>
            </w:pPr>
            <w:r>
              <w:rPr>
                <w:rFonts w:ascii="Arial" w:cs="Arial" w:eastAsia="Arial" w:hAnsi="Arial"/>
                <w:sz w:val="18"/>
                <w:szCs w:val="18"/>
                <w:color w:val="auto"/>
              </w:rPr>
              <w:t>related to indebtedness</w:t>
            </w:r>
          </w:p>
        </w:tc>
        <w:tc>
          <w:tcPr>
            <w:tcW w:w="280" w:type="dxa"/>
            <w:vAlign w:val="bottom"/>
          </w:tcPr>
          <w:p>
            <w:pPr>
              <w:spacing w:after="0"/>
              <w:rPr>
                <w:sz w:val="12"/>
                <w:szCs w:val="12"/>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39,773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98,589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109,860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102,883</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324"/>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Interest component of operating lease expense</w:t>
            </w:r>
          </w:p>
        </w:tc>
        <w:tc>
          <w:tcPr>
            <w:tcW w:w="280" w:type="dxa"/>
            <w:vAlign w:val="bottom"/>
          </w:tcPr>
          <w:p>
            <w:pPr>
              <w:spacing w:after="0"/>
              <w:rPr>
                <w:sz w:val="24"/>
                <w:szCs w:val="24"/>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219,035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215,110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160,779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114,293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103,406</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shd w:val="clear" w:color="auto" w:fill="CCEEFF"/>
          </w:tcPr>
          <w:p>
            <w:pPr>
              <w:spacing w:after="0"/>
              <w:rPr>
                <w:sz w:val="24"/>
                <w:szCs w:val="24"/>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750,968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791,386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752,241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717,672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611,522</w:t>
            </w:r>
          </w:p>
        </w:tc>
        <w:tc>
          <w:tcPr>
            <w:tcW w:w="0" w:type="dxa"/>
            <w:vAlign w:val="bottom"/>
          </w:tcPr>
          <w:p>
            <w:pPr>
              <w:spacing w:after="0"/>
              <w:rPr>
                <w:sz w:val="1"/>
                <w:szCs w:val="1"/>
                <w:color w:val="auto"/>
              </w:rPr>
            </w:pPr>
          </w:p>
        </w:tc>
      </w:tr>
      <w:tr>
        <w:trPr>
          <w:trHeight w:val="88"/>
        </w:trPr>
        <w:tc>
          <w:tcPr>
            <w:tcW w:w="470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Dividends on preferred stock and losses on purchases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43,988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2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2"/>
                <w:szCs w:val="12"/>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43,988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22,940</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Combined fixed charges and preferred stock dividends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794,956</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835,374</w:t>
            </w:r>
          </w:p>
        </w:tc>
        <w:tc>
          <w:tcPr>
            <w:tcW w:w="4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763,604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720,301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634,462</w:t>
            </w:r>
          </w:p>
        </w:tc>
        <w:tc>
          <w:tcPr>
            <w:tcW w:w="0" w:type="dxa"/>
            <w:vAlign w:val="bottom"/>
          </w:tcPr>
          <w:p>
            <w:pPr>
              <w:spacing w:after="0"/>
              <w:rPr>
                <w:sz w:val="1"/>
                <w:szCs w:val="1"/>
                <w:color w:val="auto"/>
              </w:rPr>
            </w:pPr>
          </w:p>
        </w:tc>
      </w:tr>
      <w:tr>
        <w:trPr>
          <w:trHeight w:val="136"/>
        </w:trPr>
        <w:tc>
          <w:tcPr>
            <w:tcW w:w="47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losses on purchases of preferred stock</w:t>
            </w:r>
          </w:p>
        </w:tc>
        <w:tc>
          <w:tcPr>
            <w:tcW w:w="28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460" w:type="dxa"/>
            <w:vAlign w:val="bottom"/>
            <w:gridSpan w:val="3"/>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70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60" w:type="dxa"/>
            <w:vAlign w:val="bottom"/>
            <w:gridSpan w:val="3"/>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(Deficiency) excess of earnings to cover fixed charges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469,024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332,085</w:t>
            </w:r>
          </w:p>
        </w:tc>
        <w:tc>
          <w:tcPr>
            <w:tcW w:w="4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249,169</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62,518</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150,931</w:t>
            </w:r>
          </w:p>
        </w:tc>
        <w:tc>
          <w:tcPr>
            <w:tcW w:w="0" w:type="dxa"/>
            <w:vAlign w:val="bottom"/>
          </w:tcPr>
          <w:p>
            <w:pPr>
              <w:spacing w:after="0"/>
              <w:rPr>
                <w:sz w:val="1"/>
                <w:szCs w:val="1"/>
                <w:color w:val="auto"/>
              </w:rPr>
            </w:pPr>
          </w:p>
        </w:tc>
      </w:tr>
      <w:tr>
        <w:trPr>
          <w:trHeight w:val="102"/>
        </w:trPr>
        <w:tc>
          <w:tcPr>
            <w:tcW w:w="470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60" w:type="dxa"/>
            <w:vAlign w:val="bottom"/>
            <w:gridSpan w:val="3"/>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0"/>
              </w:rPr>
              <w:t>Ratio of earnings to combined fixed charges and preferred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dividends and losses on purchases of preferred stock</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(Deficiency) excess of earnings to cover combined fixed</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 and preferred stock dividends and losses on</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425,036</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288,097</w:t>
            </w:r>
          </w:p>
        </w:tc>
        <w:tc>
          <w:tcPr>
            <w:tcW w:w="4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237,806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59,889</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127,991</w:t>
            </w:r>
          </w:p>
        </w:tc>
        <w:tc>
          <w:tcPr>
            <w:tcW w:w="0" w:type="dxa"/>
            <w:vAlign w:val="bottom"/>
          </w:tcPr>
          <w:p>
            <w:pPr>
              <w:spacing w:after="0"/>
              <w:rPr>
                <w:sz w:val="1"/>
                <w:szCs w:val="1"/>
                <w:color w:val="auto"/>
              </w:rPr>
            </w:pPr>
          </w:p>
        </w:tc>
      </w:tr>
      <w:tr>
        <w:trPr>
          <w:trHeight w:val="136"/>
        </w:trPr>
        <w:tc>
          <w:tcPr>
            <w:tcW w:w="47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purchases of preferred stock</w:t>
            </w:r>
          </w:p>
        </w:tc>
        <w:tc>
          <w:tcPr>
            <w:tcW w:w="28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460" w:type="dxa"/>
            <w:vAlign w:val="bottom"/>
            <w:gridSpan w:val="3"/>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70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60" w:type="dxa"/>
            <w:vAlign w:val="bottom"/>
            <w:gridSpan w:val="3"/>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36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8220" w:type="dxa"/>
            <w:vAlign w:val="bottom"/>
            <w:gridSpan w:val="3"/>
          </w:tcPr>
          <w:p>
            <w:pPr>
              <w:ind w:left="180"/>
              <w:spacing w:after="0"/>
              <w:rPr>
                <w:sz w:val="20"/>
                <w:szCs w:val="20"/>
                <w:color w:val="auto"/>
              </w:rPr>
            </w:pPr>
            <w:r>
              <w:rPr>
                <w:rFonts w:ascii="Arial" w:cs="Arial" w:eastAsia="Arial" w:hAnsi="Arial"/>
                <w:sz w:val="18"/>
                <w:szCs w:val="18"/>
                <w:color w:val="auto"/>
              </w:rPr>
              <w:t>CROWN CASTLE INTERNATIONAL CORP. SUBSIDIARIES</w:t>
            </w:r>
          </w:p>
        </w:tc>
        <w:tc>
          <w:tcPr>
            <w:tcW w:w="0" w:type="dxa"/>
            <w:vAlign w:val="bottom"/>
          </w:tcPr>
          <w:p>
            <w:pPr>
              <w:spacing w:after="0"/>
              <w:rPr>
                <w:sz w:val="1"/>
                <w:szCs w:val="1"/>
                <w:color w:val="auto"/>
              </w:rPr>
            </w:pPr>
          </w:p>
        </w:tc>
      </w:tr>
      <w:tr>
        <w:trPr>
          <w:trHeight w:val="288"/>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6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 Holdings GS V LLC</w:t>
            </w:r>
          </w:p>
        </w:tc>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CC Sunesys Fiber Networks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 Towers Guarantor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CC Towers Holding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CCATT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CCATT Holdings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CCGS Holdings Corp.</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CCT2 Holdings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CCTM1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CCTM Holdings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CCTMO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Atlantic Company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Atlantic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CA Corp.</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GT Company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GT Corp.</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GT Holding Sub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w w:val="97"/>
              </w:rPr>
              <w:t>Crown Castle International Corp. de Puerto Rico</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1"/>
              </w:rPr>
              <w:t>Puerto Rico</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Investment Corp.</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NG Central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NG East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NG Networks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NG West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Operating Company</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Operating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PT Inc.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PR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Puerto Rico</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Solutions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South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Towers 06-2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Towers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Crown Castle USA Inc.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89"/>
              </w:rPr>
              <w:t>Pennsylvania</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Communication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Global Signal Acquisitions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Global Signal Acquisitions II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Global Signal Acquisitions III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Global Signal Acquisitions IV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Global Signal GP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Global Signal Holdings III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Global Signal Operating Partnership, L.P.</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GoldenState Towers,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InfraSource FI,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MW Cell REIT 1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OP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Pinnacle Towers Acquisition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Pinnacle Towers Acquisition Holdings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Pinnacle Towers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WCP Wireless Site RE Funding LLC</w:t>
            </w:r>
          </w:p>
        </w:tc>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WCP Wireless Site RE Holdco LLC</w:t>
            </w:r>
          </w:p>
        </w:tc>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r>
        <w:trPr>
          <w:trHeight w:val="262"/>
        </w:trPr>
        <w:tc>
          <w:tcPr>
            <w:tcW w:w="3200" w:type="dxa"/>
            <w:vAlign w:val="bottom"/>
          </w:tcPr>
          <w:p>
            <w:pPr>
              <w:ind w:left="40"/>
              <w:spacing w:after="0"/>
              <w:rPr>
                <w:sz w:val="20"/>
                <w:szCs w:val="20"/>
                <w:color w:val="auto"/>
              </w:rPr>
            </w:pPr>
            <w:r>
              <w:rPr>
                <w:rFonts w:ascii="Arial" w:cs="Arial" w:eastAsia="Arial" w:hAnsi="Arial"/>
                <w:sz w:val="15"/>
                <w:szCs w:val="15"/>
                <w:color w:val="auto"/>
              </w:rPr>
              <w:t>Sunesys, LLC</w:t>
            </w:r>
          </w:p>
        </w:tc>
        <w:tc>
          <w:tcPr>
            <w:tcW w:w="6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4"/>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Forms S-8 (No. 333-118659, 333-163843, 333-181715 and 333-188801) and the Registration Statement on Form S-3 ASR (No. 333-203074) of Crown Castle International Corp. of our report dated February 22, 2016 relating to the financial statements, the financial statement schedules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2016</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Benjamin Moreland, certify that:</w:t>
      </w:r>
    </w:p>
    <w:p>
      <w:pPr>
        <w:spacing w:after="0" w:line="171"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Castle International Corp.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2016</w:t>
      </w:r>
    </w:p>
    <w:p>
      <w:pPr>
        <w:spacing w:after="0" w:line="200" w:lineRule="exact"/>
        <w:rPr>
          <w:sz w:val="20"/>
          <w:szCs w:val="20"/>
          <w:color w:val="auto"/>
        </w:rPr>
      </w:pPr>
    </w:p>
    <w:p>
      <w:pPr>
        <w:spacing w:after="0" w:line="32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W. Benjamin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 Benjamin Moreland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171"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Castle International Corp.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2016</w:t>
      </w:r>
    </w:p>
    <w:p>
      <w:pPr>
        <w:spacing w:after="0" w:line="200" w:lineRule="exact"/>
        <w:rPr>
          <w:sz w:val="20"/>
          <w:szCs w:val="20"/>
          <w:color w:val="auto"/>
        </w:rPr>
      </w:pPr>
    </w:p>
    <w:p>
      <w:pPr>
        <w:spacing w:after="0" w:line="32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Jay A. Brown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Crown Castle International Corp., a Delaware Corporation (“Company”), for the period ending December 31, 2015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33"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December 31, 2015 (the last date of the period covered by the Report).</w:t>
      </w:r>
    </w:p>
    <w:p>
      <w:pPr>
        <w:spacing w:after="0" w:line="30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W. Benjamin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169545</wp:posOffset>
            </wp:positionV>
            <wp:extent cx="28301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7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 Benjamin Moreland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February 22, 2016</w:t>
      </w:r>
    </w:p>
    <w:p>
      <w:pPr>
        <w:spacing w:after="0" w:line="38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169545</wp:posOffset>
            </wp:positionV>
            <wp:extent cx="28301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7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Jay A. Brown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February 22, 2016</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x"/>
      <w:numFmt w:val="bullet"/>
      <w:start w:val="1"/>
    </w:lvl>
  </w:abstractNum>
  <w:abstractNum w:abstractNumId="1">
    <w:nsid w:val="1DBABF00"/>
    <w:multiLevelType w:val="hybridMultilevel"/>
    <w:lvl w:ilvl="0">
      <w:lvlJc w:val="left"/>
      <w:lvlText w:val="o"/>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lvl w:ilvl="1">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1)"/>
      <w:numFmt w:val="decimal"/>
      <w:start w:val="3"/>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1."/>
      <w:numFmt w:val="decimal"/>
      <w:start w:val="7"/>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1)"/>
      <w:numFmt w:val="lowerLetter"/>
      <w:start w:val="1"/>
    </w:lvl>
  </w:abstractNum>
  <w:abstractNum w:abstractNumId="16">
    <w:nsid w:val="661E3F1E"/>
    <w:multiLevelType w:val="hybridMultilevel"/>
    <w:lvl w:ilvl="0">
      <w:lvlJc w:val="left"/>
      <w:lvlText w:val="(%1)"/>
      <w:numFmt w:val="lowerLetter"/>
      <w:start w:val="1"/>
    </w:lvl>
  </w:abstractNum>
  <w:abstractNum w:abstractNumId="17">
    <w:nsid w:val="5DC79E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540A471C"/>
    <w:multiLevelType w:val="hybridMultilevel"/>
    <w:lvl w:ilvl="0">
      <w:lvlJc w:val="left"/>
      <w:lvlText w:val="•"/>
      <w:numFmt w:val="bullet"/>
      <w:start w:val="1"/>
    </w:lvl>
    <w:lvl w:ilvl="1">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1)"/>
      <w:numFmt w:val="lowerLetter"/>
      <w:start w:val="1"/>
    </w:lvl>
  </w:abstractNum>
  <w:abstractNum w:abstractNumId="22">
    <w:nsid w:val="BF72B14"/>
    <w:multiLevelType w:val="hybridMultilevel"/>
    <w:lvl w:ilvl="0">
      <w:lvlJc w:val="left"/>
      <w:lvlText w:val="(%1)"/>
      <w:numFmt w:val="lowerLetter"/>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lvl w:ilvl="1">
      <w:lvlJc w:val="left"/>
      <w:lvlText w:val="(%2)"/>
      <w:numFmt w:val="decimal"/>
      <w:start w:val="2"/>
    </w:lvl>
  </w:abstractNum>
  <w:abstractNum w:abstractNumId="25">
    <w:nsid w:val="A0382C5"/>
    <w:multiLevelType w:val="hybridMultilevel"/>
    <w:lvl w:ilvl="0">
      <w:lvlJc w:val="left"/>
      <w:lvlText w:val="(%1)"/>
      <w:numFmt w:val="lowerLetter"/>
      <w:start w:val="1"/>
    </w:lvl>
    <w:lvl w:ilvl="1">
      <w:lvlJc w:val="left"/>
      <w:lvlText w:val="•"/>
      <w:numFmt w:val="bullet"/>
      <w:start w:val="1"/>
    </w:lvl>
  </w:abstractNum>
  <w:abstractNum w:abstractNumId="26">
    <w:nsid w:val="8F2B15E"/>
    <w:multiLevelType w:val="hybridMultilevel"/>
    <w:lvl w:ilvl="0">
      <w:lvlJc w:val="left"/>
      <w:lvlText w:val="(%1)"/>
      <w:numFmt w:val="lowerLetter"/>
      <w:start w:val="1"/>
    </w:lvl>
    <w:lvl w:ilvl="1">
      <w:lvlJc w:val="left"/>
      <w:lvlText w:val="•"/>
      <w:numFmt w:val="bullet"/>
      <w:start w:val="1"/>
    </w:lvl>
  </w:abstractNum>
  <w:abstractNum w:abstractNumId="27">
    <w:nsid w:val="1A32234B"/>
    <w:multiLevelType w:val="hybridMultilevel"/>
    <w:lvl w:ilvl="0">
      <w:lvlJc w:val="left"/>
      <w:lvlText w:val="(%1)"/>
      <w:numFmt w:val="lowerLetter"/>
      <w:start w:val="1"/>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1)"/>
      <w:numFmt w:val="decimal"/>
      <w:start w:val="1"/>
    </w:lvl>
  </w:abstractNum>
  <w:abstractNum w:abstractNumId="30">
    <w:nsid w:val="4962813B"/>
    <w:multiLevelType w:val="hybridMultilevel"/>
    <w:lvl w:ilvl="0">
      <w:lvlJc w:val="left"/>
      <w:lvlText w:val="(%1)"/>
      <w:numFmt w:val="decimal"/>
      <w:start w:val="1"/>
    </w:lvl>
  </w:abstractNum>
  <w:abstractNum w:abstractNumId="31">
    <w:nsid w:val="60B6DF70"/>
    <w:multiLevelType w:val="hybridMultilevel"/>
    <w:lvl w:ilvl="0">
      <w:lvlJc w:val="left"/>
      <w:lvlText w:val="(%1)"/>
      <w:numFmt w:val="lowerLetter"/>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1)"/>
      <w:numFmt w:val="lowerLetter"/>
      <w:start w:val="1"/>
    </w:lvl>
  </w:abstractNum>
  <w:abstractNum w:abstractNumId="36">
    <w:nsid w:val="71EA1109"/>
    <w:multiLevelType w:val="hybridMultilevel"/>
    <w:lvl w:ilvl="0">
      <w:lvlJc w:val="left"/>
      <w:lvlText w:val="(%1)"/>
      <w:numFmt w:val="lowerLetter"/>
      <w:start w:val="1"/>
    </w:lvl>
  </w:abstractNum>
  <w:abstractNum w:abstractNumId="37">
    <w:nsid w:val="100F59DC"/>
    <w:multiLevelType w:val="hybridMultilevel"/>
    <w:lvl w:ilvl="0">
      <w:lvlJc w:val="left"/>
      <w:lvlText w:val="(%1)"/>
      <w:numFmt w:val="lowerLetter"/>
      <w:start w:val="1"/>
    </w:lvl>
  </w:abstractNum>
  <w:abstractNum w:abstractNumId="38">
    <w:nsid w:val="7FB7E0AA"/>
    <w:multiLevelType w:val="hybridMultilevel"/>
    <w:lvl w:ilvl="0">
      <w:lvlJc w:val="left"/>
      <w:lvlText w:val="(%1)"/>
      <w:numFmt w:val="lowerLetter"/>
      <w:start w:val="1"/>
    </w:lvl>
  </w:abstractNum>
  <w:abstractNum w:abstractNumId="39">
    <w:nsid w:val="6EB5BD4"/>
    <w:multiLevelType w:val="hybridMultilevel"/>
    <w:lvl w:ilvl="0">
      <w:lvlJc w:val="left"/>
      <w:lvlText w:val="(%1)"/>
      <w:numFmt w:val="lowerLetter"/>
      <w:start w:val="1"/>
    </w:lvl>
  </w:abstractNum>
  <w:abstractNum w:abstractNumId="40">
    <w:nsid w:val="6F6DD9AC"/>
    <w:multiLevelType w:val="hybridMultilevel"/>
    <w:lvl w:ilvl="0">
      <w:lvlJc w:val="left"/>
      <w:lvlText w:val="%1."/>
      <w:numFmt w:val="decimal"/>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1."/>
      <w:numFmt w:val="decimal"/>
      <w:start w:val="2"/>
    </w:lvl>
  </w:abstractNum>
  <w:abstractNum w:abstractNumId="43">
    <w:nsid w:val="76272110"/>
    <w:multiLevelType w:val="hybridMultilevel"/>
    <w:lvl w:ilvl="0">
      <w:lvlJc w:val="left"/>
      <w:lvlText w:val="(%1)"/>
      <w:numFmt w:val="lowerLetter"/>
      <w:start w:val="1"/>
    </w:lvl>
  </w:abstractNum>
  <w:abstractNum w:abstractNumId="44">
    <w:nsid w:val="4C04A8AF"/>
    <w:multiLevelType w:val="hybridMultilevel"/>
    <w:lvl w:ilvl="0">
      <w:lvlJc w:val="left"/>
      <w:lvlText w:val="(%1)"/>
      <w:numFmt w:val="decimal"/>
      <w:start w:val="2"/>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decimal"/>
      <w:start w:val="3"/>
    </w:lvl>
  </w:abstractNum>
  <w:abstractNum w:abstractNumId="47">
    <w:nsid w:val="3222E7CD"/>
    <w:multiLevelType w:val="hybridMultilevel"/>
    <w:lvl w:ilvl="0">
      <w:lvlJc w:val="left"/>
      <w:lvlText w:val="(%1)"/>
      <w:numFmt w:val="lowerLetter"/>
      <w:start w:val="1"/>
    </w:lvl>
  </w:abstractNum>
  <w:abstractNum w:abstractNumId="48">
    <w:nsid w:val="74DE0EE3"/>
    <w:multiLevelType w:val="hybridMultilevel"/>
    <w:lvl w:ilvl="0">
      <w:lvlJc w:val="left"/>
      <w:lvlText w:val="(%1)"/>
      <w:numFmt w:val="lowerLetter"/>
      <w:start w:val="1"/>
    </w:lvl>
  </w:abstractNum>
  <w:abstractNum w:abstractNumId="49">
    <w:nsid w:val="68EBC550"/>
    <w:multiLevelType w:val="hybridMultilevel"/>
    <w:lvl w:ilvl="0">
      <w:lvlJc w:val="left"/>
      <w:lvlText w:val="%1."/>
      <w:numFmt w:val="decimal"/>
      <w:start w:val="4"/>
    </w:lvl>
  </w:abstractNum>
  <w:abstractNum w:abstractNumId="50">
    <w:nsid w:val="2DF6D648"/>
    <w:multiLevelType w:val="hybridMultilevel"/>
    <w:lvl w:ilvl="0">
      <w:lvlJc w:val="left"/>
      <w:lvlText w:val="(%1)"/>
      <w:numFmt w:val="lowerLetter"/>
      <w:start w:val="1"/>
    </w:lvl>
  </w:abstractNum>
  <w:abstractNum w:abstractNumId="51">
    <w:nsid w:val="46B7D447"/>
    <w:multiLevelType w:val="hybridMultilevel"/>
    <w:lvl w:ilvl="0">
      <w:lvlJc w:val="left"/>
      <w:lvlText w:val="(%1)"/>
      <w:numFmt w:val="lowerLetter"/>
      <w:start w:val="1"/>
    </w:lvl>
  </w:abstractNum>
  <w:abstractNum w:abstractNumId="52">
    <w:nsid w:val="4A2AC315"/>
    <w:multiLevelType w:val="hybridMultilevel"/>
    <w:lvl w:ilvl="0">
      <w:lvlJc w:val="left"/>
      <w:lvlText w:val="(%1)"/>
      <w:numFmt w:val="lowerLetter"/>
      <w:start w:val="1"/>
    </w:lvl>
  </w:abstractNum>
  <w:abstractNum w:abstractNumId="53">
    <w:nsid w:val="39EE015C"/>
    <w:multiLevelType w:val="hybridMultilevel"/>
    <w:lvl w:ilvl="0">
      <w:lvlJc w:val="left"/>
      <w:lvlText w:val="%1."/>
      <w:numFmt w:val="decimal"/>
      <w:start w:val="5"/>
    </w:lvl>
  </w:abstractNum>
  <w:abstractNum w:abstractNumId="54">
    <w:nsid w:val="57FC4FBB"/>
    <w:multiLevelType w:val="hybridMultilevel"/>
    <w:lvl w:ilvl="0">
      <w:lvlJc w:val="left"/>
      <w:lvlText w:val="(%1)"/>
      <w:numFmt w:val="lowerLetter"/>
      <w:start w:val="1"/>
    </w:lvl>
  </w:abstractNum>
  <w:abstractNum w:abstractNumId="55">
    <w:nsid w:val="CC1016F"/>
    <w:multiLevelType w:val="hybridMultilevel"/>
    <w:lvl w:ilvl="0">
      <w:lvlJc w:val="left"/>
      <w:lvlText w:val="%1."/>
      <w:numFmt w:val="decimal"/>
      <w:start w:val="6"/>
    </w:lvl>
  </w:abstractNum>
  <w:abstractNum w:abstractNumId="56">
    <w:nsid w:val="43F18422"/>
    <w:multiLevelType w:val="hybridMultilevel"/>
    <w:lvl w:ilvl="0">
      <w:lvlJc w:val="left"/>
      <w:lvlText w:val="(%1)"/>
      <w:numFmt w:val="lowerLetter"/>
      <w:start w:val="1"/>
    </w:lvl>
  </w:abstractNum>
  <w:abstractNum w:abstractNumId="57">
    <w:nsid w:val="60EF0119"/>
    <w:multiLevelType w:val="hybridMultilevel"/>
    <w:lvl w:ilvl="0">
      <w:lvlJc w:val="left"/>
      <w:lvlText w:val="%1."/>
      <w:numFmt w:val="decimal"/>
      <w:start w:val="7"/>
    </w:lvl>
  </w:abstractNum>
  <w:abstractNum w:abstractNumId="58">
    <w:nsid w:val="26F324BA"/>
    <w:multiLevelType w:val="hybridMultilevel"/>
    <w:lvl w:ilvl="0">
      <w:lvlJc w:val="left"/>
      <w:lvlText w:val="%1."/>
      <w:numFmt w:val="decimal"/>
      <w:start w:val="8"/>
    </w:lvl>
  </w:abstractNum>
  <w:abstractNum w:abstractNumId="59">
    <w:nsid w:val="7F01579B"/>
    <w:multiLevelType w:val="hybridMultilevel"/>
    <w:lvl w:ilvl="0">
      <w:lvlJc w:val="left"/>
      <w:lvlText w:val="(%1)"/>
      <w:numFmt w:val="lowerLetter"/>
      <w:start w:val="1"/>
    </w:lvl>
  </w:abstractNum>
  <w:abstractNum w:abstractNumId="60">
    <w:nsid w:val="49DA307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1">
    <w:nsid w:val="7055A5F5"/>
    <w:multiLevelType w:val="hybridMultilevel"/>
    <w:lvl w:ilvl="0">
      <w:lvlJc w:val="left"/>
      <w:lvlText w:val="(%1)"/>
      <w:numFmt w:val="lowerLetter"/>
      <w:start w:val="1"/>
    </w:lvl>
  </w:abstractNum>
  <w:abstractNum w:abstractNumId="62">
    <w:nsid w:val="5FB8370B"/>
    <w:multiLevelType w:val="hybridMultilevel"/>
    <w:lvl w:ilvl="0">
      <w:lvlJc w:val="left"/>
      <w:lvlText w:val="(%1)"/>
      <w:numFmt w:val="lowerLetter"/>
      <w:start w:val="1"/>
    </w:lvl>
  </w:abstractNum>
  <w:abstractNum w:abstractNumId="63">
    <w:nsid w:val="50801EE1"/>
    <w:multiLevelType w:val="hybridMultilevel"/>
    <w:lvl w:ilvl="0">
      <w:lvlJc w:val="left"/>
      <w:lvlText w:val="(%1)"/>
      <w:numFmt w:val="lowerLetter"/>
      <w:start w:val="1"/>
    </w:lvl>
  </w:abstractNum>
  <w:abstractNum w:abstractNumId="64">
    <w:nsid w:val="488AC1A"/>
    <w:multiLevelType w:val="hybridMultilevel"/>
    <w:lvl w:ilvl="0">
      <w:lvlJc w:val="left"/>
      <w:lvlText w:val="%1."/>
      <w:numFmt w:val="decimal"/>
      <w:start w:val="9"/>
    </w:lvl>
  </w:abstractNum>
  <w:abstractNum w:abstractNumId="65">
    <w:nsid w:val="5FB8011C"/>
    <w:multiLevelType w:val="hybridMultilevel"/>
    <w:lvl w:ilvl="0">
      <w:lvlJc w:val="left"/>
      <w:lvlText w:val="(%1)"/>
      <w:numFmt w:val="lowerLetter"/>
      <w:start w:val="1"/>
    </w:lvl>
  </w:abstractNum>
  <w:abstractNum w:abstractNumId="66">
    <w:nsid w:val="6AA78F7F"/>
    <w:multiLevelType w:val="hybridMultilevel"/>
    <w:lvl w:ilvl="0">
      <w:lvlJc w:val="left"/>
      <w:lvlText w:val="%1."/>
      <w:numFmt w:val="decimal"/>
      <w:start w:val="10"/>
    </w:lvl>
  </w:abstractNum>
  <w:abstractNum w:abstractNumId="67">
    <w:nsid w:val="7672BD23"/>
    <w:multiLevelType w:val="hybridMultilevel"/>
    <w:lvl w:ilvl="0">
      <w:lvlJc w:val="left"/>
      <w:lvlText w:val="%1."/>
      <w:numFmt w:val="decimal"/>
      <w:start w:val="11"/>
    </w:lvl>
  </w:abstractNum>
  <w:abstractNum w:abstractNumId="68">
    <w:nsid w:val="6FC75AF8"/>
    <w:multiLevelType w:val="hybridMultilevel"/>
    <w:lvl w:ilvl="0">
      <w:lvlJc w:val="left"/>
      <w:lvlText w:val="(%1)"/>
      <w:numFmt w:val="lowerLetter"/>
      <w:start w:val="1"/>
    </w:lvl>
  </w:abstractNum>
  <w:abstractNum w:abstractNumId="69">
    <w:nsid w:val="6A5F7029"/>
    <w:multiLevelType w:val="hybridMultilevel"/>
    <w:lvl w:ilvl="0">
      <w:lvlJc w:val="left"/>
      <w:lvlText w:val="%1."/>
      <w:numFmt w:val="decimal"/>
      <w:start w:val="12"/>
    </w:lvl>
  </w:abstractNum>
  <w:abstractNum w:abstractNumId="70">
    <w:nsid w:val="7D5E18F8"/>
    <w:multiLevelType w:val="hybridMultilevel"/>
    <w:lvl w:ilvl="0">
      <w:lvlJc w:val="left"/>
      <w:lvlText w:val="(%1)"/>
      <w:numFmt w:val="lowerLetter"/>
      <w:start w:val="1"/>
    </w:lvl>
  </w:abstractNum>
  <w:abstractNum w:abstractNumId="71">
    <w:nsid w:val="5F3534A4"/>
    <w:multiLevelType w:val="hybridMultilevel"/>
    <w:lvl w:ilvl="0">
      <w:lvlJc w:val="left"/>
      <w:lvlText w:val="(%1)"/>
      <w:numFmt w:val="lowerLetter"/>
      <w:start w:val="1"/>
    </w:lvl>
  </w:abstractNum>
  <w:abstractNum w:abstractNumId="72">
    <w:nsid w:val="73A1821B"/>
    <w:multiLevelType w:val="hybridMultilevel"/>
    <w:lvl w:ilvl="0">
      <w:lvlJc w:val="left"/>
      <w:lvlText w:val="%1."/>
      <w:numFmt w:val="decimal"/>
      <w:start w:val="13"/>
    </w:lvl>
  </w:abstractNum>
  <w:abstractNum w:abstractNumId="73">
    <w:nsid w:val="7DE67713"/>
    <w:multiLevelType w:val="hybridMultilevel"/>
    <w:lvl w:ilvl="0">
      <w:lvlJc w:val="left"/>
      <w:lvlText w:val="%1."/>
      <w:numFmt w:val="decimal"/>
      <w:start w:val="14"/>
    </w:lvl>
  </w:abstractNum>
  <w:abstractNum w:abstractNumId="74">
    <w:nsid w:val="555C55B5"/>
    <w:multiLevelType w:val="hybridMultilevel"/>
    <w:lvl w:ilvl="0">
      <w:lvlJc w:val="left"/>
      <w:lvlText w:val="%1."/>
      <w:numFmt w:val="decimal"/>
      <w:start w:val="15"/>
    </w:lvl>
  </w:abstractNum>
  <w:abstractNum w:abstractNumId="75">
    <w:nsid w:val="3FA62ACA"/>
    <w:multiLevelType w:val="hybridMultilevel"/>
    <w:lvl w:ilvl="0">
      <w:lvlJc w:val="left"/>
      <w:lvlText w:val="%1."/>
      <w:numFmt w:val="decimal"/>
      <w:start w:val="16"/>
    </w:lvl>
  </w:abstractNum>
  <w:abstractNum w:abstractNumId="76">
    <w:nsid w:val="14FCE74E"/>
    <w:multiLevelType w:val="hybridMultilevel"/>
    <w:lvl w:ilvl="0">
      <w:lvlJc w:val="left"/>
      <w:lvlText w:val="(%1)"/>
      <w:numFmt w:val="lowerLetter"/>
      <w:start w:val="1"/>
    </w:lvl>
  </w:abstractNum>
  <w:abstractNum w:abstractNumId="77">
    <w:nsid w:val="6A3DD3E8"/>
    <w:multiLevelType w:val="hybridMultilevel"/>
    <w:lvl w:ilvl="0">
      <w:lvlJc w:val="left"/>
      <w:lvlText w:val="%1."/>
      <w:numFmt w:val="decimal"/>
      <w:start w:val="17"/>
    </w:lvl>
  </w:abstractNum>
  <w:abstractNum w:abstractNumId="78">
    <w:nsid w:val="71C91298"/>
    <w:multiLevelType w:val="hybridMultilevel"/>
    <w:lvl w:ilvl="0">
      <w:lvlJc w:val="left"/>
      <w:lvlText w:val="%1."/>
      <w:numFmt w:val="decimal"/>
      <w:start w:val="18"/>
    </w:lvl>
  </w:abstractNum>
  <w:abstractNum w:abstractNumId="79">
    <w:nsid w:val="9DAF632"/>
    <w:multiLevelType w:val="hybridMultilevel"/>
    <w:lvl w:ilvl="0">
      <w:lvlJc w:val="left"/>
      <w:lvlText w:val="(%1)"/>
      <w:numFmt w:val="lowerLetter"/>
      <w:start w:val="1"/>
    </w:lvl>
  </w:abstractNum>
  <w:abstractNum w:abstractNumId="80">
    <w:nsid w:val="53299938"/>
    <w:multiLevelType w:val="hybridMultilevel"/>
    <w:lvl w:ilvl="0">
      <w:lvlJc w:val="left"/>
      <w:lvlText w:val="%1."/>
      <w:numFmt w:val="decimal"/>
      <w:start w:val="19"/>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1)"/>
      <w:numFmt w:val="lowerLetter"/>
      <w:start w:val="1"/>
    </w:lvl>
  </w:abstractNum>
  <w:abstractNum w:abstractNumId="83">
    <w:nsid w:val="1D545C4D"/>
    <w:multiLevelType w:val="hybridMultilevel"/>
    <w:lvl w:ilvl="0">
      <w:lvlJc w:val="left"/>
      <w:lvlText w:val="(%1)"/>
      <w:numFmt w:val="lowerLetter"/>
      <w:start w:val="1"/>
    </w:lvl>
  </w:abstractNum>
  <w:abstractNum w:abstractNumId="84">
    <w:nsid w:val="59ADEA3D"/>
    <w:multiLevelType w:val="hybridMultilevel"/>
    <w:lvl w:ilvl="0">
      <w:lvlJc w:val="left"/>
      <w:lvlText w:val="(%1)"/>
      <w:numFmt w:val="decimal"/>
      <w:start w:val="1"/>
    </w:lvl>
  </w:abstractNum>
  <w:abstractNum w:abstractNumId="85">
    <w:nsid w:val="288F1A34"/>
    <w:multiLevelType w:val="hybridMultilevel"/>
    <w:lvl w:ilvl="0">
      <w:lvlJc w:val="left"/>
      <w:lvlText w:val="(%1)"/>
      <w:numFmt w:val="decimal"/>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1)"/>
      <w:numFmt w:val="lowerLetter"/>
      <w:start w:val="2"/>
    </w:lvl>
  </w:abstractNum>
  <w:abstractNum w:abstractNumId="89">
    <w:nsid w:val="51088277"/>
    <w:multiLevelType w:val="hybridMultilevel"/>
    <w:lvl w:ilvl="0">
      <w:lvlJc w:val="left"/>
      <w:lvlText w:val="(%1)"/>
      <w:numFmt w:val="lowerLetter"/>
      <w:start w:val="5"/>
    </w:lvl>
  </w:abstractNum>
  <w:abstractNum w:abstractNumId="90">
    <w:nsid w:val="1CA0C5FA"/>
    <w:multiLevelType w:val="hybridMultilevel"/>
    <w:lvl w:ilvl="0">
      <w:lvlJc w:val="left"/>
      <w:lvlText w:val="(%1)"/>
      <w:numFmt w:val="lowerRoman"/>
      <w:start w:val="10"/>
    </w:lvl>
  </w:abstractNum>
  <w:abstractNum w:abstractNumId="91">
    <w:nsid w:val="53584BCB"/>
    <w:multiLevelType w:val="hybridMultilevel"/>
    <w:lvl w:ilvl="0">
      <w:lvlJc w:val="left"/>
      <w:lvlText w:val="(%1)"/>
      <w:numFmt w:val="lowerLetter"/>
      <w:start w:val="13"/>
    </w:lvl>
  </w:abstractNum>
  <w:abstractNum w:abstractNumId="92">
    <w:nsid w:val="415E286C"/>
    <w:multiLevelType w:val="hybridMultilevel"/>
    <w:lvl w:ilvl="0">
      <w:lvlJc w:val="left"/>
      <w:lvlText w:val="(%1)"/>
      <w:numFmt w:val="lowerRoman"/>
      <w:start w:val="1"/>
    </w:lvl>
  </w:abstractNum>
  <w:abstractNum w:abstractNumId="93">
    <w:nsid w:val="7C58FD05"/>
    <w:multiLevelType w:val="hybridMultilevel"/>
    <w:lvl w:ilvl="0">
      <w:lvlJc w:val="left"/>
      <w:lvlText w:val="(%1)"/>
      <w:numFmt w:val="lowerLetter"/>
      <w:start w:val="11"/>
    </w:lvl>
  </w:abstractNum>
  <w:abstractNum w:abstractNumId="94">
    <w:nsid w:val="23D86AAC"/>
    <w:multiLevelType w:val="hybridMultilevel"/>
    <w:lvl w:ilvl="0">
      <w:lvlJc w:val="left"/>
      <w:lvlText w:val="(%1)"/>
      <w:numFmt w:val="lowerRoman"/>
      <w:start w:val="1"/>
    </w:lvl>
  </w:abstractNum>
  <w:abstractNum w:abstractNumId="95">
    <w:nsid w:val="45E6D486"/>
    <w:multiLevelType w:val="hybridMultilevel"/>
    <w:lvl w:ilvl="0">
      <w:lvlJc w:val="left"/>
      <w:lvlText w:val="(%1)"/>
      <w:numFmt w:val="lowerLetter"/>
      <w:start w:val="16"/>
    </w:lvl>
  </w:abstractNum>
  <w:abstractNum w:abstractNumId="96">
    <w:nsid w:val="5C10FE21"/>
    <w:multiLevelType w:val="hybridMultilevel"/>
    <w:lvl w:ilvl="0">
      <w:lvlJc w:val="left"/>
      <w:lvlText w:val="(%1)"/>
      <w:numFmt w:val="lowerLetter"/>
      <w:start w:val="16"/>
    </w:lvl>
  </w:abstractNum>
  <w:abstractNum w:abstractNumId="97">
    <w:nsid w:val="E7FFA2B"/>
    <w:multiLevelType w:val="hybridMultilevel"/>
    <w:lvl w:ilvl="0">
      <w:lvlJc w:val="left"/>
      <w:lvlText w:val="(%1)"/>
      <w:numFmt w:val="lowerLetter"/>
      <w:start w:val="16"/>
    </w:lvl>
  </w:abstractNum>
  <w:abstractNum w:abstractNumId="98">
    <w:nsid w:val="3C5991AA"/>
    <w:multiLevelType w:val="hybridMultilevel"/>
    <w:lvl w:ilvl="0">
      <w:lvlJc w:val="left"/>
      <w:lvlText w:val="(%1)"/>
      <w:numFmt w:val="lowerLetter"/>
      <w:start w:val="16"/>
    </w:lvl>
  </w:abstractNum>
  <w:abstractNum w:abstractNumId="99">
    <w:nsid w:val="4BD8591A"/>
    <w:multiLevelType w:val="hybridMultilevel"/>
    <w:lvl w:ilvl="0">
      <w:lvlJc w:val="left"/>
      <w:lvlText w:val="(%1)"/>
      <w:numFmt w:val="lowerLetter"/>
      <w:start w:val="18"/>
    </w:lvl>
  </w:abstractNum>
  <w:abstractNum w:abstractNumId="100">
    <w:nsid w:val="78DF6A55"/>
    <w:multiLevelType w:val="hybridMultilevel"/>
    <w:lvl w:ilvl="0">
      <w:lvlJc w:val="left"/>
      <w:lvlText w:val="(%1)"/>
      <w:numFmt w:val="lowerLetter"/>
      <w:start w:val="18"/>
    </w:lvl>
  </w:abstractNum>
  <w:abstractNum w:abstractNumId="101">
    <w:nsid w:val="39B7AAA2"/>
    <w:multiLevelType w:val="hybridMultilevel"/>
    <w:lvl w:ilvl="0">
      <w:lvlJc w:val="left"/>
      <w:lvlText w:val="(%1)"/>
      <w:numFmt w:val="lowerLetter"/>
      <w:start w:val="25"/>
    </w:lvl>
  </w:abstractNum>
  <w:abstractNum w:abstractNumId="102">
    <w:nsid w:val="2B0D8DBE"/>
    <w:multiLevelType w:val="hybridMultilevel"/>
    <w:lvl w:ilvl="0">
      <w:lvlJc w:val="left"/>
      <w:lvlText w:val="(%1)"/>
      <w:numFmt w:val="lowerLetter"/>
      <w:start w:val="28"/>
    </w:lvl>
  </w:abstractNum>
  <w:abstractNum w:abstractNumId="103">
    <w:nsid w:val="6C80EC70"/>
    <w:multiLevelType w:val="hybridMultilevel"/>
    <w:lvl w:ilvl="0">
      <w:lvlJc w:val="left"/>
      <w:lvlText w:val="(%1)"/>
      <w:numFmt w:val="lowerLetter"/>
      <w:start w:val="38"/>
    </w:lvl>
  </w:abstractNum>
  <w:abstractNum w:abstractNumId="104">
    <w:nsid w:val="379E21B5"/>
    <w:multiLevelType w:val="hybridMultilevel"/>
    <w:lvl w:ilvl="0">
      <w:lvlJc w:val="left"/>
      <w:lvlText w:val="(%1)"/>
      <w:numFmt w:val="lowerLetter"/>
      <w:start w:val="41"/>
    </w:lvl>
  </w:abstractNum>
  <w:abstractNum w:abstractNumId="105">
    <w:nsid w:val="69E373"/>
    <w:multiLevelType w:val="hybridMultilevel"/>
    <w:lvl w:ilvl="0">
      <w:lvlJc w:val="left"/>
      <w:lvlText w:val="(%1)"/>
      <w:numFmt w:val="lowerLetter"/>
      <w:start w:val="1"/>
    </w:lvl>
  </w:abstractNum>
  <w:abstractNum w:abstractNumId="106">
    <w:nsid w:val="2C27173B"/>
    <w:multiLevelType w:val="hybridMultilevel"/>
    <w:lvl w:ilvl="0">
      <w:lvlJc w:val="left"/>
      <w:lvlText w:val="(%1)"/>
      <w:numFmt w:val="lowerLetter"/>
      <w:start w:val="14"/>
    </w:lvl>
  </w:abstractNum>
  <w:abstractNum w:abstractNumId="107">
    <w:nsid w:val="4C9B0904"/>
    <w:multiLevelType w:val="hybridMultilevel"/>
    <w:lvl w:ilvl="0">
      <w:lvlJc w:val="left"/>
      <w:lvlText w:val="(%1)"/>
      <w:numFmt w:val="lowerLetter"/>
      <w:start w:val="27"/>
    </w:lvl>
  </w:abstractNum>
  <w:abstractNum w:abstractNumId="108">
    <w:nsid w:val="6AA7B75C"/>
    <w:multiLevelType w:val="hybridMultilevel"/>
    <w:lvl w:ilvl="0">
      <w:lvlJc w:val="left"/>
      <w:lvlText w:val="(%1)"/>
      <w:numFmt w:val="lowerLetter"/>
      <w:start w:val="35"/>
    </w:lvl>
  </w:abstractNum>
  <w:abstractNum w:abstractNumId="109">
    <w:nsid w:val="1DF029D3"/>
    <w:multiLevelType w:val="hybridMultilevel"/>
    <w:lvl w:ilvl="0">
      <w:lvlJc w:val="left"/>
      <w:lvlText w:val="%1."/>
      <w:numFmt w:val="upperLetter"/>
      <w:start w:val="9"/>
    </w:lvl>
  </w:abstractNum>
  <w:abstractNum w:abstractNumId="110">
    <w:nsid w:val="5675FF36"/>
    <w:multiLevelType w:val="hybridMultilevel"/>
    <w:lvl w:ilvl="0">
      <w:lvlJc w:val="left"/>
      <w:lvlText w:val="(%1)"/>
      <w:numFmt w:val="lowerRoman"/>
      <w:start w:val="2"/>
    </w:lvl>
  </w:abstractNum>
  <w:abstractNum w:abstractNumId="111">
    <w:nsid w:val="3DD15094"/>
    <w:multiLevelType w:val="hybridMultilevel"/>
    <w:lvl w:ilvl="0">
      <w:lvlJc w:val="left"/>
      <w:lvlText w:val="%1."/>
      <w:numFmt w:val="upperLetter"/>
      <w:start w:val="35"/>
    </w:lvl>
  </w:abstractNum>
  <w:abstractNum w:abstractNumId="112">
    <w:nsid w:val="3DB012B3"/>
    <w:multiLevelType w:val="hybridMultilevel"/>
    <w:lvl w:ilvl="0">
      <w:lvlJc w:val="left"/>
      <w:lvlText w:val="%1."/>
      <w:numFmt w:val="upperLetter"/>
      <w:start w:val="61"/>
    </w:lvl>
    <w:lvl w:ilvl="1">
      <w:lvlJc w:val="left"/>
      <w:lvlText w:val="(%2)"/>
      <w:numFmt w:val="lowerLetter"/>
      <w:start w:val="1"/>
    </w:lvl>
  </w:abstractNum>
  <w:abstractNum w:abstractNumId="113">
    <w:nsid w:val="2708C9AF"/>
    <w:multiLevelType w:val="hybridMultilevel"/>
    <w:lvl w:ilvl="0">
      <w:lvlJc w:val="left"/>
      <w:lvlText w:val="(%1)"/>
      <w:numFmt w:val="lowerLetter"/>
      <w:start w:val="1"/>
    </w:lvl>
  </w:abstractNum>
  <w:abstractNum w:abstractNumId="114">
    <w:nsid w:val="5B25ACE2"/>
    <w:multiLevelType w:val="hybridMultilevel"/>
    <w:lvl w:ilvl="0">
      <w:lvlJc w:val="left"/>
      <w:lvlText w:val="(%1)"/>
      <w:numFmt w:val="lowerLetter"/>
      <w:start w:val="1"/>
    </w:lvl>
  </w:abstractNum>
  <w:abstractNum w:abstractNumId="115">
    <w:nsid w:val="175DFCF0"/>
    <w:multiLevelType w:val="hybridMultilevel"/>
    <w:lvl w:ilvl="0">
      <w:lvlJc w:val="left"/>
      <w:lvlText w:val="(%1)"/>
      <w:numFmt w:val="lowerLetter"/>
      <w:start w:val="1"/>
    </w:lvl>
  </w:abstractNum>
  <w:abstractNum w:abstractNumId="116">
    <w:nsid w:val="4F97E3E4"/>
    <w:multiLevelType w:val="hybridMultilevel"/>
    <w:lvl w:ilvl="0">
      <w:lvlJc w:val="left"/>
      <w:lvlText w:val="(%1)"/>
      <w:numFmt w:val="decimal"/>
      <w:start w:val="6"/>
    </w:lvl>
  </w:abstractNum>
  <w:abstractNum w:abstractNumId="117">
    <w:nsid w:val="53B0A9E"/>
    <w:multiLevelType w:val="hybridMultilevel"/>
    <w:lvl w:ilvl="0">
      <w:lvlJc w:val="left"/>
      <w:lvlText w:val="%1."/>
      <w:numFmt w:val="upperLetter"/>
      <w:start w:val="22"/>
    </w:lvl>
    <w:lvl w:ilvl="1">
      <w:lvlJc w:val="left"/>
      <w:lvlText w:val="(%2)"/>
      <w:numFmt w:val="lowerLetter"/>
      <w:start w:val="1"/>
    </w:lvl>
  </w:abstractNum>
  <w:abstractNum w:abstractNumId="118">
    <w:nsid w:val="34FD6B4F"/>
    <w:multiLevelType w:val="hybridMultilevel"/>
    <w:lvl w:ilvl="0">
      <w:lvlJc w:val="left"/>
      <w:lvlText w:val="(%1)"/>
      <w:numFmt w:val="lowerLetter"/>
      <w:start w:val="2"/>
    </w:lvl>
  </w:abstractNum>
  <w:abstractNum w:abstractNumId="119">
    <w:nsid w:val="5915FF32"/>
    <w:multiLevelType w:val="hybridMultilevel"/>
    <w:lvl w:ilvl="0">
      <w:lvlJc w:val="left"/>
      <w:lvlText w:val="(%1)"/>
      <w:numFmt w:val="lowerLetter"/>
      <w:start w:val="2"/>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lowerLetter"/>
      <w:start w:val="2"/>
    </w:lvl>
  </w:abstractNum>
  <w:abstractNum w:abstractNumId="122">
    <w:nsid w:val="2C6E4AFD"/>
    <w:multiLevelType w:val="hybridMultilevel"/>
    <w:lvl w:ilvl="0">
      <w:lvlJc w:val="left"/>
      <w:lvlText w:val="(%1)"/>
      <w:numFmt w:val="lowerLetter"/>
      <w:start w:val="1"/>
    </w:lvl>
  </w:abstractNum>
  <w:abstractNum w:abstractNumId="123">
    <w:nsid w:val="17A1B582"/>
    <w:multiLevelType w:val="hybridMultilevel"/>
    <w:lvl w:ilvl="0">
      <w:lvlJc w:val="left"/>
      <w:lvlText w:val="(%1)"/>
      <w:numFmt w:val="lowerLetter"/>
      <w:start w:val="2"/>
    </w:lvl>
  </w:abstractNum>
  <w:abstractNum w:abstractNumId="124">
    <w:nsid w:val="4DF72E4E"/>
    <w:multiLevelType w:val="hybridMultilevel"/>
    <w:lvl w:ilvl="0">
      <w:lvlJc w:val="left"/>
      <w:lvlText w:val="(%1)"/>
      <w:numFmt w:val="lowerLetter"/>
      <w:start w:val="1"/>
    </w:lvl>
  </w:abstractNum>
  <w:abstractNum w:abstractNumId="125">
    <w:nsid w:val="5046B5A9"/>
    <w:multiLevelType w:val="hybridMultilevel"/>
    <w:lvl w:ilvl="0">
      <w:lvlJc w:val="left"/>
      <w:lvlText w:val="(%1)"/>
      <w:numFmt w:val="lowerLetter"/>
      <w:start w:val="1"/>
    </w:lvl>
  </w:abstractNum>
  <w:abstractNum w:abstractNumId="126">
    <w:nsid w:val="5D888A08"/>
    <w:multiLevelType w:val="hybridMultilevel"/>
    <w:lvl w:ilvl="0">
      <w:lvlJc w:val="left"/>
      <w:lvlText w:val="(%1)"/>
      <w:numFmt w:val="lowerLetter"/>
      <w:start w:val="4"/>
    </w:lvl>
  </w:abstractNum>
  <w:abstractNum w:abstractNumId="127">
    <w:nsid w:val="2A082C70"/>
    <w:multiLevelType w:val="hybridMultilevel"/>
    <w:lvl w:ilvl="0">
      <w:lvlJc w:val="left"/>
      <w:lvlText w:val="%1."/>
      <w:numFmt w:val="decimal"/>
      <w:start w:val="1"/>
    </w:lvl>
    <w:lvl w:ilvl="1">
      <w:lvlJc w:val="left"/>
      <w:lvlText w:val="%2)"/>
      <w:numFmt w:val="lowerLetter"/>
      <w:start w:val="1"/>
    </w:lvl>
  </w:abstractNum>
  <w:abstractNum w:abstractNumId="128">
    <w:nsid w:val="5EC6AFD4"/>
    <w:multiLevelType w:val="hybridMultilevel"/>
    <w:lvl w:ilvl="0">
      <w:lvlJc w:val="left"/>
      <w:lvlText w:val="%1."/>
      <w:numFmt w:val="decimal"/>
      <w:start w:val="1"/>
    </w:lvl>
    <w:lvl w:ilvl="1">
      <w:lvlJc w:val="left"/>
      <w:lvlText w:val="%2)"/>
      <w:numFmt w:val="lowerLetter"/>
      <w:start w:val="1"/>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2019-12-29T12:57:14Z</dcterms:created>
  <dcterms:modified xsi:type="dcterms:W3CDTF">2019-12-29T12:57:14Z</dcterms:modified>
</cp:coreProperties>
</file>