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674370</wp:posOffset>
            </wp:positionV>
            <wp:extent cx="7134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762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644525</wp:posOffset>
            </wp:positionV>
            <wp:extent cx="71342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13, 2025</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Crown Castle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05" w:lineRule="exact"/>
        <w:rPr>
          <w:sz w:val="24"/>
          <w:szCs w:val="24"/>
          <w:color w:val="auto"/>
        </w:rPr>
      </w:pPr>
    </w:p>
    <w:tbl>
      <w:tblPr>
        <w:tblLayout w:type="fixed"/>
        <w:tblInd w:w="20" w:type="dxa"/>
        <w:tblCellMar>
          <w:top w:w="0" w:type="dxa"/>
          <w:left w:w="0" w:type="dxa"/>
          <w:bottom w:w="0" w:type="dxa"/>
          <w:right w:w="0" w:type="dxa"/>
        </w:tblCellMar>
      </w:tblPr>
      <w:tr>
        <w:trPr>
          <w:trHeight w:val="208"/>
        </w:trPr>
        <w:tc>
          <w:tcPr>
            <w:tcW w:w="27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620" w:type="dxa"/>
            <w:vAlign w:val="bottom"/>
            <w:gridSpan w:val="3"/>
          </w:tcPr>
          <w:p>
            <w:pPr>
              <w:jc w:val="right"/>
              <w:ind w:right="1381"/>
              <w:spacing w:after="0"/>
              <w:rPr>
                <w:sz w:val="20"/>
                <w:szCs w:val="20"/>
                <w:color w:val="auto"/>
              </w:rPr>
            </w:pPr>
            <w:r>
              <w:rPr>
                <w:rFonts w:ascii="Times New Roman" w:cs="Times New Roman" w:eastAsia="Times New Roman" w:hAnsi="Times New Roman"/>
                <w:sz w:val="16"/>
                <w:szCs w:val="16"/>
                <w:b w:val="1"/>
                <w:bCs w:val="1"/>
                <w:color w:val="auto"/>
              </w:rPr>
              <w:t>001-16441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gridSpan w:val="2"/>
          </w:tcPr>
          <w:p>
            <w:pPr>
              <w:jc w:val="right"/>
              <w:ind w:right="1440"/>
              <w:spacing w:after="0"/>
              <w:rPr>
                <w:sz w:val="20"/>
                <w:szCs w:val="20"/>
                <w:color w:val="auto"/>
              </w:rPr>
            </w:pPr>
            <w:r>
              <w:rPr>
                <w:rFonts w:ascii="Times New Roman" w:cs="Times New Roman" w:eastAsia="Times New Roman" w:hAnsi="Times New Roman"/>
                <w:sz w:val="16"/>
                <w:szCs w:val="16"/>
                <w:b w:val="1"/>
                <w:bCs w:val="1"/>
                <w:color w:val="auto"/>
              </w:rPr>
              <w:t>76-0470458</w:t>
            </w:r>
          </w:p>
        </w:tc>
      </w:tr>
      <w:tr>
        <w:trPr>
          <w:trHeight w:val="146"/>
        </w:trPr>
        <w:tc>
          <w:tcPr>
            <w:tcW w:w="2740" w:type="dxa"/>
            <w:vAlign w:val="bottom"/>
            <w:tcBorders>
              <w:top w:val="single" w:sz="8" w:color="auto"/>
            </w:tcBorders>
          </w:tcPr>
          <w:p>
            <w:pPr>
              <w:jc w:val="center"/>
              <w:ind w:left="721"/>
              <w:spacing w:after="0" w:line="145" w:lineRule="exact"/>
              <w:rPr>
                <w:sz w:val="20"/>
                <w:szCs w:val="20"/>
                <w:color w:val="auto"/>
              </w:rPr>
            </w:pPr>
            <w:r>
              <w:rPr>
                <w:rFonts w:ascii="Times New Roman" w:cs="Times New Roman" w:eastAsia="Times New Roman" w:hAnsi="Times New Roman"/>
                <w:sz w:val="16"/>
                <w:szCs w:val="16"/>
                <w:color w:val="auto"/>
                <w:w w:val="98"/>
              </w:rPr>
              <w:t>(State or other jurisdiction</w:t>
            </w: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6"/>
                <w:szCs w:val="16"/>
                <w:color w:val="auto"/>
                <w:w w:val="98"/>
              </w:rPr>
              <w:t>(Commission File Number)</w:t>
            </w:r>
          </w:p>
        </w:tc>
        <w:tc>
          <w:tcPr>
            <w:tcW w:w="2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2"/>
          </w:tcPr>
          <w:p>
            <w:pPr>
              <w:jc w:val="center"/>
              <w:ind w:right="440"/>
              <w:spacing w:after="0" w:line="145" w:lineRule="exact"/>
              <w:rPr>
                <w:sz w:val="20"/>
                <w:szCs w:val="20"/>
                <w:color w:val="auto"/>
              </w:rPr>
            </w:pPr>
            <w:r>
              <w:rPr>
                <w:rFonts w:ascii="Times New Roman" w:cs="Times New Roman" w:eastAsia="Times New Roman" w:hAnsi="Times New Roman"/>
                <w:sz w:val="16"/>
                <w:szCs w:val="16"/>
                <w:color w:val="auto"/>
                <w:w w:val="98"/>
              </w:rPr>
              <w:t>(IRS Employer Identification No.)</w:t>
            </w:r>
          </w:p>
        </w:tc>
      </w:tr>
      <w:tr>
        <w:trPr>
          <w:trHeight w:val="206"/>
        </w:trPr>
        <w:tc>
          <w:tcPr>
            <w:tcW w:w="274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51"/>
        </w:trPr>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7"/>
              </w:rPr>
              <w:t>8020 Katy Freeway, Houston, Texas 77024</w:t>
            </w: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6"/>
        </w:trPr>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w w:val="98"/>
              </w:rPr>
              <w:t>(Address of principal executive offices) (Zip Code)</w:t>
            </w:r>
          </w:p>
        </w:tc>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355"/>
        </w:trPr>
        <w:tc>
          <w:tcPr>
            <w:tcW w:w="2740" w:type="dxa"/>
            <w:vAlign w:val="bottom"/>
          </w:tcPr>
          <w:p>
            <w:pPr>
              <w:spacing w:after="0"/>
              <w:rPr>
                <w:sz w:val="24"/>
                <w:szCs w:val="24"/>
                <w:color w:val="auto"/>
              </w:rPr>
            </w:pPr>
          </w:p>
        </w:tc>
        <w:tc>
          <w:tcPr>
            <w:tcW w:w="5300" w:type="dxa"/>
            <w:vAlign w:val="bottom"/>
            <w:gridSpan w:val="5"/>
          </w:tcPr>
          <w:p>
            <w:pPr>
              <w:jc w:val="center"/>
              <w:ind w:left="341"/>
              <w:spacing w:after="0"/>
              <w:rPr>
                <w:sz w:val="20"/>
                <w:szCs w:val="20"/>
                <w:color w:val="auto"/>
              </w:rPr>
            </w:pPr>
            <w:r>
              <w:rPr>
                <w:rFonts w:ascii="Times New Roman" w:cs="Times New Roman" w:eastAsia="Times New Roman" w:hAnsi="Times New Roman"/>
                <w:sz w:val="16"/>
                <w:szCs w:val="16"/>
                <w:color w:val="auto"/>
                <w:w w:val="98"/>
              </w:rPr>
              <w:t xml:space="preserve">Registrant's telephone number, including area code: </w:t>
            </w:r>
            <w:r>
              <w:rPr>
                <w:rFonts w:ascii="Times New Roman" w:cs="Times New Roman" w:eastAsia="Times New Roman" w:hAnsi="Times New Roman"/>
                <w:sz w:val="16"/>
                <w:szCs w:val="16"/>
                <w:b w:val="1"/>
                <w:bCs w:val="1"/>
                <w:color w:val="auto"/>
                <w:w w:val="98"/>
              </w:rPr>
              <w:t>(713) 570-3000</w:t>
            </w:r>
          </w:p>
        </w:tc>
        <w:tc>
          <w:tcPr>
            <w:tcW w:w="4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00"/>
        </w:trPr>
        <w:tc>
          <w:tcPr>
            <w:tcW w:w="27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4"/>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40" w:type="dxa"/>
            <w:vAlign w:val="bottom"/>
          </w:tcPr>
          <w:p>
            <w:pPr>
              <w:spacing w:after="0"/>
              <w:rPr>
                <w:sz w:val="17"/>
                <w:szCs w:val="17"/>
                <w:color w:val="auto"/>
              </w:rPr>
            </w:pPr>
          </w:p>
        </w:tc>
      </w:tr>
      <w:tr>
        <w:trPr>
          <w:trHeight w:val="198"/>
        </w:trPr>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0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color w:val="auto"/>
                <w:w w:val="98"/>
              </w:rPr>
              <w:t>(Former name or former address, if changed since last report.)</w:t>
            </w:r>
          </w:p>
        </w:tc>
        <w:tc>
          <w:tcPr>
            <w:tcW w:w="44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520" w:hanging="413"/>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8" w:lineRule="exact"/>
        <w:rPr>
          <w:rFonts w:ascii="MS PGothic" w:cs="MS PGothic" w:eastAsia="MS PGothic" w:hAnsi="MS PGothic"/>
          <w:sz w:val="19"/>
          <w:szCs w:val="19"/>
          <w:color w:val="auto"/>
        </w:rPr>
      </w:pPr>
    </w:p>
    <w:p>
      <w:pPr>
        <w:ind w:left="520" w:hanging="413"/>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8" w:lineRule="exact"/>
        <w:rPr>
          <w:rFonts w:ascii="MS PGothic" w:cs="MS PGothic" w:eastAsia="MS PGothic" w:hAnsi="MS PGothic"/>
          <w:sz w:val="19"/>
          <w:szCs w:val="19"/>
          <w:color w:val="auto"/>
        </w:rPr>
      </w:pPr>
    </w:p>
    <w:p>
      <w:pPr>
        <w:ind w:left="520" w:hanging="413"/>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8" w:lineRule="exact"/>
        <w:rPr>
          <w:rFonts w:ascii="MS PGothic" w:cs="MS PGothic" w:eastAsia="MS PGothic" w:hAnsi="MS PGothic"/>
          <w:sz w:val="19"/>
          <w:szCs w:val="19"/>
          <w:color w:val="auto"/>
        </w:rPr>
      </w:pPr>
    </w:p>
    <w:p>
      <w:pPr>
        <w:ind w:left="520" w:hanging="413"/>
        <w:spacing w:after="0"/>
        <w:tabs>
          <w:tab w:leader="none" w:pos="5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8" w:lineRule="exact"/>
        <w:rPr>
          <w:sz w:val="24"/>
          <w:szCs w:val="24"/>
          <w:color w:val="auto"/>
        </w:rPr>
      </w:pPr>
    </w:p>
    <w:tbl>
      <w:tblPr>
        <w:tblLayout w:type="fixed"/>
        <w:tblInd w:w="10" w:type="dxa"/>
        <w:tblCellMar>
          <w:top w:w="0" w:type="dxa"/>
          <w:left w:w="0" w:type="dxa"/>
          <w:bottom w:w="0" w:type="dxa"/>
          <w:right w:w="0" w:type="dxa"/>
        </w:tblCellMar>
      </w:tblPr>
      <w:tr>
        <w:trPr>
          <w:trHeight w:val="213"/>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3"/>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$0.01 par value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CCI</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Exchange Act of 1934 (17 CFR §240.12b-2).</w:t>
      </w:r>
    </w:p>
    <w:p>
      <w:pPr>
        <w:spacing w:after="0" w:line="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735965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65405</wp:posOffset>
            </wp:positionV>
            <wp:extent cx="71342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35560</wp:posOffset>
            </wp:positionV>
            <wp:extent cx="71342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 RESULTS OF OPERATIONS AND FINANCIAL CONDITION</w:t>
      </w:r>
    </w:p>
    <w:p>
      <w:pPr>
        <w:spacing w:after="0" w:line="14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6"/>
          <w:szCs w:val="16"/>
          <w:color w:val="auto"/>
        </w:rPr>
        <w:t>On March 13, 2025, Crown Castle Inc. ("Company") issued a press release disclosing its financial results for the fourth quarter and full year ended December 31, 2024 and announcing it has entered into a definitive agreement to sell its small cells and fiber solutions businesses to affiliates of EQT Active Core Infrastructure fund and Zayo Group Holdings Inc., respectively. A copy of the press release is furnished herewith as Exhibit 99.1.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 REGULATION FD DISCLOSURE</w:t>
      </w:r>
    </w:p>
    <w:p>
      <w:pPr>
        <w:spacing w:after="0" w:line="149"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The press release referenced in Item 2.02 above refers to certain supplemental information that was posted as a supplemental information package on the Company's website on March 13, 2025. The supplemental information package is furnished herewith as Exhibit 99.2.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 FINANCIAL STATEMENTS AND EXHIBITS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6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w:t>
            </w: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8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Description</w:t>
            </w:r>
          </w:p>
        </w:tc>
      </w:tr>
      <w:tr>
        <w:trPr>
          <w:trHeight w:val="157"/>
        </w:trPr>
        <w:tc>
          <w:tcPr>
            <w:tcW w:w="120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2300" w:type="dxa"/>
            <w:vAlign w:val="bottom"/>
            <w:tcBorders>
              <w:top w:val="single" w:sz="8" w:color="auto"/>
              <w:bottom w:val="single" w:sz="8" w:color="0000FF"/>
            </w:tcBorders>
          </w:tcPr>
          <w:p>
            <w:pPr>
              <w:spacing w:after="0" w:line="158" w:lineRule="exact"/>
              <w:rPr>
                <w:sz w:val="20"/>
                <w:szCs w:val="20"/>
                <w:color w:val="auto"/>
              </w:rPr>
            </w:pPr>
            <w:r>
              <w:rPr>
                <w:rFonts w:ascii="Times New Roman" w:cs="Times New Roman" w:eastAsia="Times New Roman" w:hAnsi="Times New Roman"/>
                <w:sz w:val="16"/>
                <w:szCs w:val="16"/>
                <w:color w:val="0000FF"/>
                <w:w w:val="98"/>
              </w:rPr>
              <w:t>Press Release dated March 13, 2025</w:t>
            </w:r>
          </w:p>
        </w:tc>
        <w:tc>
          <w:tcPr>
            <w:tcW w:w="7600" w:type="dxa"/>
            <w:vAlign w:val="bottom"/>
            <w:tcBorders>
              <w:top w:val="single" w:sz="8" w:color="auto"/>
            </w:tcBorders>
            <w:gridSpan w:val="4"/>
          </w:tcPr>
          <w:p>
            <w:pPr>
              <w:spacing w:after="0"/>
              <w:rPr>
                <w:sz w:val="13"/>
                <w:szCs w:val="13"/>
                <w:color w:val="auto"/>
              </w:rPr>
            </w:pPr>
          </w:p>
        </w:tc>
      </w:tr>
      <w:tr>
        <w:trPr>
          <w:trHeight w:val="181"/>
        </w:trPr>
        <w:tc>
          <w:tcPr>
            <w:tcW w:w="120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5"/>
                <w:szCs w:val="15"/>
                <w:color w:val="auto"/>
              </w:rPr>
            </w:pPr>
          </w:p>
        </w:tc>
        <w:tc>
          <w:tcPr>
            <w:tcW w:w="9900" w:type="dxa"/>
            <w:vAlign w:val="bottom"/>
            <w:gridSpan w:val="5"/>
          </w:tcPr>
          <w:p>
            <w:pPr>
              <w:spacing w:after="0" w:line="181" w:lineRule="exact"/>
              <w:rPr>
                <w:sz w:val="20"/>
                <w:szCs w:val="20"/>
                <w:color w:val="auto"/>
              </w:rPr>
            </w:pPr>
            <w:r>
              <w:rPr>
                <w:rFonts w:ascii="Times New Roman" w:cs="Times New Roman" w:eastAsia="Times New Roman" w:hAnsi="Times New Roman"/>
                <w:sz w:val="16"/>
                <w:szCs w:val="16"/>
                <w:color w:val="0000FF"/>
              </w:rPr>
              <w:t>Supplemental Information Package for period ended December 31, 2024</w:t>
            </w: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80" w:type="dxa"/>
            <w:vAlign w:val="bottom"/>
            <w:gridSpan w:val="3"/>
            <w:shd w:val="clear" w:color="auto" w:fill="0000FF"/>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17"/>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tc>
      </w:tr>
    </w:tbl>
    <w:p>
      <w:pPr>
        <w:spacing w:after="0" w:line="19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information in Items 2.02 and 7.01 of this Current Report on Form 8-K ("Form 8-K") and Exhibits 99.1 and 99.2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Form 8-K contains forward-looking statements that are based on Company management's current expectations. Such forward-looking statements include plans, projections and estimates regarding the anticipated disposition of small cell and fiber solutions businesses. Such statements also include our anticipated reduction to our annualized dividend and the expected implementation of a share repurchase program. Such forward-looking statements are subject to certain risks, uncertainties and assumptions, including prevailing market conditions and other factors. Should one or more of these risks or uncertainties materialize, or should underlying assumptions prove incorrect, actual results may vary materially from those expected. More information about potential risk factors that could affect the Company and its results is included in the Company's filings with the Securities and Exchange Commission. The term "including," and any variation thereof, means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470535</wp:posOffset>
            </wp:positionV>
            <wp:extent cx="717486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3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1" w:lineRule="exact"/>
        <w:rPr>
          <w:sz w:val="20"/>
          <w:szCs w:val="20"/>
          <w:color w:val="auto"/>
        </w:rPr>
      </w:pPr>
    </w:p>
    <w:p>
      <w:pPr>
        <w:ind w:firstLine="568"/>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CROWN CASTLE INC.</w:t>
      </w:r>
    </w:p>
    <w:p>
      <w:pPr>
        <w:spacing w:after="0" w:line="24" w:lineRule="exact"/>
        <w:rPr>
          <w:sz w:val="20"/>
          <w:szCs w:val="20"/>
          <w:color w:val="auto"/>
        </w:rPr>
      </w:pPr>
    </w:p>
    <w:tbl>
      <w:tblPr>
        <w:tblLayout w:type="fixed"/>
        <w:tblInd w:w="4780" w:type="dxa"/>
        <w:tblCellMar>
          <w:top w:w="0" w:type="dxa"/>
          <w:left w:w="0" w:type="dxa"/>
          <w:bottom w:w="0" w:type="dxa"/>
          <w:right w:w="0" w:type="dxa"/>
        </w:tblCellMar>
      </w:tblPr>
      <w:tr>
        <w:trPr>
          <w:trHeight w:val="200"/>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/s/ Edward B. Adams, Jr.</w:t>
            </w:r>
          </w:p>
        </w:tc>
      </w:tr>
      <w:tr>
        <w:trPr>
          <w:trHeight w:val="188"/>
        </w:trPr>
        <w:tc>
          <w:tcPr>
            <w:tcW w:w="52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Edward B. Adams, Jr.</w:t>
            </w:r>
          </w:p>
        </w:tc>
      </w:tr>
      <w:tr>
        <w:trPr>
          <w:trHeight w:val="206"/>
        </w:trPr>
        <w:tc>
          <w:tcPr>
            <w:tcW w:w="5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Vice President and General Counsel</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13, 2025</w:t>
      </w:r>
    </w:p>
    <w:p>
      <w:pPr>
        <w:sectPr>
          <w:pgSz w:w="11900" w:h="16838" w:orient="portrait"/>
          <w:cols w:equalWidth="0" w:num="1">
            <w:col w:w="11240"/>
          </w:cols>
          <w:pgMar w:left="320" w:top="93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390525</wp:posOffset>
            </wp:positionV>
            <wp:extent cx="1397000" cy="398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9"/>
          <w:szCs w:val="19"/>
          <w:color w:val="auto"/>
        </w:rPr>
        <w:t>NEWS RELEASE</w:t>
      </w:r>
    </w:p>
    <w:p>
      <w:pPr>
        <w:jc w:val="right"/>
        <w:ind w:right="20"/>
        <w:spacing w:after="0"/>
        <w:rPr>
          <w:sz w:val="20"/>
          <w:szCs w:val="20"/>
          <w:color w:val="auto"/>
        </w:rPr>
      </w:pPr>
      <w:r>
        <w:rPr>
          <w:rFonts w:ascii="Times New Roman" w:cs="Times New Roman" w:eastAsia="Times New Roman" w:hAnsi="Times New Roman"/>
          <w:sz w:val="19"/>
          <w:szCs w:val="19"/>
          <w:color w:val="auto"/>
        </w:rPr>
        <w:t>March 13, 2025</w:t>
      </w:r>
    </w:p>
    <w:p>
      <w:pPr>
        <w:spacing w:after="0" w:line="200" w:lineRule="exact"/>
        <w:rPr>
          <w:sz w:val="20"/>
          <w:szCs w:val="20"/>
          <w:color w:val="auto"/>
        </w:rPr>
      </w:pPr>
    </w:p>
    <w:p>
      <w:pPr>
        <w:spacing w:after="0" w:line="353"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5220" w:type="dxa"/>
            <w:vAlign w:val="bottom"/>
          </w:tcPr>
          <w:p>
            <w:pPr>
              <w:ind w:left="2180"/>
              <w:spacing w:after="0"/>
              <w:rPr>
                <w:sz w:val="20"/>
                <w:szCs w:val="20"/>
                <w:color w:val="auto"/>
              </w:rPr>
            </w:pPr>
            <w:r>
              <w:rPr>
                <w:rFonts w:ascii="Times New Roman" w:cs="Times New Roman" w:eastAsia="Times New Roman" w:hAnsi="Times New Roman"/>
                <w:sz w:val="14"/>
                <w:szCs w:val="14"/>
                <w:color w:val="auto"/>
              </w:rPr>
              <w:t>Contacts: Dan Schlanger, CFO</w:t>
            </w:r>
          </w:p>
        </w:tc>
        <w:tc>
          <w:tcPr>
            <w:tcW w:w="0" w:type="dxa"/>
            <w:vAlign w:val="bottom"/>
          </w:tcPr>
          <w:p>
            <w:pPr>
              <w:spacing w:after="0"/>
              <w:rPr>
                <w:sz w:val="1"/>
                <w:szCs w:val="1"/>
                <w:color w:val="auto"/>
              </w:rPr>
            </w:pPr>
          </w:p>
        </w:tc>
      </w:tr>
      <w:tr>
        <w:trPr>
          <w:trHeight w:val="189"/>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IMMEDIATE RELEASE</w:t>
            </w:r>
          </w:p>
        </w:tc>
        <w:tc>
          <w:tcPr>
            <w:tcW w:w="522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Kris Hinson, VP Corp Finance &amp; Treasurer</w:t>
            </w:r>
          </w:p>
        </w:tc>
        <w:tc>
          <w:tcPr>
            <w:tcW w:w="0" w:type="dxa"/>
            <w:vAlign w:val="bottom"/>
          </w:tcPr>
          <w:p>
            <w:pPr>
              <w:spacing w:after="0"/>
              <w:rPr>
                <w:sz w:val="1"/>
                <w:szCs w:val="1"/>
                <w:color w:val="auto"/>
              </w:rPr>
            </w:pPr>
          </w:p>
        </w:tc>
      </w:tr>
      <w:tr>
        <w:trPr>
          <w:trHeight w:val="206"/>
        </w:trPr>
        <w:tc>
          <w:tcPr>
            <w:tcW w:w="4300" w:type="dxa"/>
            <w:vAlign w:val="bottom"/>
            <w:vMerge w:val="continue"/>
          </w:tcPr>
          <w:p>
            <w:pPr>
              <w:spacing w:after="0"/>
              <w:rPr>
                <w:sz w:val="17"/>
                <w:szCs w:val="17"/>
                <w:color w:val="auto"/>
              </w:rPr>
            </w:pPr>
          </w:p>
        </w:tc>
        <w:tc>
          <w:tcPr>
            <w:tcW w:w="522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Crown Castle Inc.</w:t>
            </w: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6"/>
                <w:szCs w:val="16"/>
                <w:color w:val="auto"/>
              </w:rPr>
            </w:pPr>
          </w:p>
        </w:tc>
        <w:tc>
          <w:tcPr>
            <w:tcW w:w="5220" w:type="dxa"/>
            <w:vAlign w:val="bottom"/>
          </w:tcPr>
          <w:p>
            <w:pPr>
              <w:ind w:left="2740"/>
              <w:spacing w:after="0"/>
              <w:rPr>
                <w:sz w:val="20"/>
                <w:szCs w:val="20"/>
                <w:color w:val="auto"/>
              </w:rPr>
            </w:pPr>
            <w:r>
              <w:rPr>
                <w:rFonts w:ascii="Times New Roman" w:cs="Times New Roman" w:eastAsia="Times New Roman" w:hAnsi="Times New Roman"/>
                <w:sz w:val="14"/>
                <w:szCs w:val="14"/>
                <w:color w:val="auto"/>
              </w:rPr>
              <w:t>713-570-3050</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CROWN CASTLE ANNOUNCES AGREEMENT TO</w:t>
      </w:r>
    </w:p>
    <w:p>
      <w:pPr>
        <w:spacing w:after="0" w:line="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SELL FIBER SEGMENT TO EQT AND ZAYO,</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REPORTS FOURTH QUARTER AND FULL YEAR 2024 RESULTS, AND PROVIDES OUTLOOK</w:t>
      </w:r>
    </w:p>
    <w:p>
      <w:pPr>
        <w:spacing w:after="0" w:line="1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FOR FULL YEAR 2025</w:t>
      </w:r>
    </w:p>
    <w:p>
      <w:pPr>
        <w:spacing w:after="0" w:line="132" w:lineRule="exact"/>
        <w:rPr>
          <w:sz w:val="20"/>
          <w:szCs w:val="20"/>
          <w:color w:val="auto"/>
        </w:rPr>
      </w:pPr>
    </w:p>
    <w:p>
      <w:pPr>
        <w:ind w:left="1605"/>
        <w:spacing w:after="0"/>
        <w:rPr>
          <w:sz w:val="20"/>
          <w:szCs w:val="20"/>
          <w:color w:val="auto"/>
        </w:rPr>
      </w:pPr>
      <w:r>
        <w:rPr>
          <w:rFonts w:ascii="Times New Roman" w:cs="Times New Roman" w:eastAsia="Times New Roman" w:hAnsi="Times New Roman"/>
          <w:sz w:val="17"/>
          <w:szCs w:val="17"/>
          <w:b w:val="1"/>
          <w:bCs w:val="1"/>
          <w:i w:val="1"/>
          <w:iCs w:val="1"/>
          <w:color w:val="auto"/>
        </w:rPr>
        <w:t>Successfully Concludes Strategic Review with Agreement to Sell Small Cells and Fiber Solutions for $8.5 Billion</w:t>
      </w:r>
    </w:p>
    <w:p>
      <w:pPr>
        <w:spacing w:after="0" w:line="159" w:lineRule="exact"/>
        <w:rPr>
          <w:sz w:val="20"/>
          <w:szCs w:val="20"/>
          <w:color w:val="auto"/>
        </w:rPr>
      </w:pPr>
    </w:p>
    <w:p>
      <w:pPr>
        <w:ind w:left="2605"/>
        <w:spacing w:after="0"/>
        <w:rPr>
          <w:sz w:val="20"/>
          <w:szCs w:val="20"/>
          <w:color w:val="auto"/>
        </w:rPr>
      </w:pPr>
      <w:r>
        <w:rPr>
          <w:rFonts w:ascii="Times New Roman" w:cs="Times New Roman" w:eastAsia="Times New Roman" w:hAnsi="Times New Roman"/>
          <w:sz w:val="17"/>
          <w:szCs w:val="17"/>
          <w:b w:val="1"/>
          <w:bCs w:val="1"/>
          <w:i w:val="1"/>
          <w:iCs w:val="1"/>
          <w:color w:val="auto"/>
        </w:rPr>
        <w:t>Results in Crown Castle as the Only Pure-Play, Publicly-Traded US Tower Company</w:t>
      </w:r>
    </w:p>
    <w:p>
      <w:pPr>
        <w:spacing w:after="0" w:line="159"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7"/>
          <w:szCs w:val="17"/>
          <w:b w:val="1"/>
          <w:bCs w:val="1"/>
          <w:i w:val="1"/>
          <w:iCs w:val="1"/>
          <w:color w:val="auto"/>
        </w:rPr>
        <w:t>Increases Capital Efficiency with Updated Capital Allocation Framework, Including Anticipated New Dividend Policy and Proposed Approximately $3.0</w:t>
      </w:r>
    </w:p>
    <w:p>
      <w:pPr>
        <w:spacing w:after="0" w:line="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i w:val="1"/>
          <w:iCs w:val="1"/>
          <w:color w:val="auto"/>
        </w:rPr>
        <w:t>Billion Share Repurchase Program</w:t>
      </w:r>
    </w:p>
    <w:p>
      <w:pPr>
        <w:spacing w:after="0" w:line="187" w:lineRule="exact"/>
        <w:rPr>
          <w:sz w:val="20"/>
          <w:szCs w:val="20"/>
          <w:color w:val="auto"/>
        </w:rPr>
      </w:pPr>
    </w:p>
    <w:p>
      <w:pPr>
        <w:ind w:left="5" w:right="160" w:firstLine="568"/>
        <w:spacing w:after="0" w:line="401" w:lineRule="auto"/>
        <w:rPr>
          <w:sz w:val="20"/>
          <w:szCs w:val="20"/>
          <w:color w:val="auto"/>
        </w:rPr>
      </w:pPr>
      <w:r>
        <w:rPr>
          <w:rFonts w:ascii="Times New Roman" w:cs="Times New Roman" w:eastAsia="Times New Roman" w:hAnsi="Times New Roman"/>
          <w:sz w:val="17"/>
          <w:szCs w:val="17"/>
          <w:color w:val="auto"/>
        </w:rPr>
        <w:t>March 13, 2025 - HOUSTON, TEXAS - Crown Castle Inc. (NYSE: CCI) ("Crown Castle" or "Company") today reported results for the full year ended December 31, 2024, as reflected in the table below.</w:t>
      </w:r>
    </w:p>
    <w:p>
      <w:pPr>
        <w:spacing w:after="0" w:line="37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Previous 2024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Actual Compared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0" w:type="dxa"/>
            <w:vAlign w:val="bottom"/>
          </w:tcPr>
          <w:p>
            <w:pPr>
              <w:jc w:val="center"/>
              <w:ind w:left="2"/>
              <w:spacing w:after="0" w:line="134" w:lineRule="exact"/>
              <w:rPr>
                <w:sz w:val="20"/>
                <w:szCs w:val="20"/>
                <w:color w:val="auto"/>
              </w:rPr>
            </w:pPr>
            <w:r>
              <w:rPr>
                <w:rFonts w:ascii="Times New Roman" w:cs="Times New Roman" w:eastAsia="Times New Roman" w:hAnsi="Times New Roman"/>
                <w:sz w:val="15"/>
                <w:szCs w:val="15"/>
                <w:color w:val="auto"/>
              </w:rPr>
              <w:t>Outlook</w:t>
            </w:r>
          </w:p>
        </w:tc>
        <w:tc>
          <w:tcPr>
            <w:tcW w:w="132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color w:val="auto"/>
              </w:rPr>
              <w:t>to Previous</w:t>
            </w:r>
          </w:p>
        </w:tc>
        <w:tc>
          <w:tcPr>
            <w:tcW w:w="0" w:type="dxa"/>
            <w:vAlign w:val="bottom"/>
          </w:tcPr>
          <w:p>
            <w:pPr>
              <w:spacing w:after="0"/>
              <w:rPr>
                <w:sz w:val="1"/>
                <w:szCs w:val="1"/>
                <w:color w:val="auto"/>
              </w:rPr>
            </w:pPr>
          </w:p>
        </w:tc>
      </w:tr>
      <w:tr>
        <w:trPr>
          <w:trHeight w:val="205"/>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 except per share amounts)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80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6"/>
                <w:szCs w:val="16"/>
                <w:color w:val="auto"/>
                <w:w w:val="99"/>
              </w:rPr>
              <w:t>2023</w:t>
            </w:r>
          </w:p>
        </w:tc>
        <w:tc>
          <w:tcPr>
            <w:tcW w:w="13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Change</w:t>
            </w: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 Change</w:t>
            </w:r>
          </w:p>
        </w:tc>
        <w:tc>
          <w:tcPr>
            <w:tcW w:w="1200" w:type="dxa"/>
            <w:vAlign w:val="bottom"/>
            <w:tcBorders>
              <w:bottom w:val="single" w:sz="8" w:color="auto"/>
            </w:tcBorders>
          </w:tcPr>
          <w:p>
            <w:pPr>
              <w:jc w:val="center"/>
              <w:spacing w:after="0" w:line="205" w:lineRule="exact"/>
              <w:rPr>
                <w:sz w:val="20"/>
                <w:szCs w:val="20"/>
                <w:color w:val="auto"/>
              </w:rPr>
            </w:pPr>
            <w:r>
              <w:rPr>
                <w:rFonts w:ascii="Times New Roman" w:cs="Times New Roman" w:eastAsia="Times New Roman" w:hAnsi="Times New Roman"/>
                <w:sz w:val="16"/>
                <w:szCs w:val="16"/>
                <w:color w:val="auto"/>
                <w:w w:val="93"/>
              </w:rPr>
              <w:t>Midpoint</w:t>
            </w:r>
            <w:r>
              <w:rPr>
                <w:rFonts w:ascii="Times New Roman" w:cs="Times New Roman" w:eastAsia="Times New Roman" w:hAnsi="Times New Roman"/>
                <w:sz w:val="20"/>
                <w:szCs w:val="20"/>
                <w:color w:val="auto"/>
                <w:w w:val="93"/>
                <w:vertAlign w:val="superscript"/>
              </w:rPr>
              <w:t>(b)</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Outlook Midpoint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$6,358</w:t>
            </w:r>
          </w:p>
        </w:tc>
        <w:tc>
          <w:tcPr>
            <w:tcW w:w="800" w:type="dxa"/>
            <w:vAlign w:val="bottom"/>
            <w:shd w:val="clear" w:color="auto" w:fill="CCEEFF"/>
          </w:tcPr>
          <w:p>
            <w:pPr>
              <w:jc w:val="center"/>
              <w:ind w:left="201"/>
              <w:spacing w:after="0"/>
              <w:rPr>
                <w:sz w:val="20"/>
                <w:szCs w:val="20"/>
                <w:color w:val="auto"/>
              </w:rPr>
            </w:pPr>
            <w:r>
              <w:rPr>
                <w:rFonts w:ascii="Times New Roman" w:cs="Times New Roman" w:eastAsia="Times New Roman" w:hAnsi="Times New Roman"/>
                <w:sz w:val="16"/>
                <w:szCs w:val="16"/>
                <w:color w:val="auto"/>
                <w:w w:val="99"/>
              </w:rPr>
              <w:t>$6,532</w:t>
            </w:r>
          </w:p>
        </w:tc>
        <w:tc>
          <w:tcPr>
            <w:tcW w:w="138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w w:val="98"/>
              </w:rPr>
              <w:t>$(174)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$6,340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$(3,903)</w:t>
            </w:r>
          </w:p>
        </w:tc>
        <w:tc>
          <w:tcPr>
            <w:tcW w:w="8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9"/>
              </w:rPr>
              <w:t>$1,502</w:t>
            </w:r>
          </w:p>
        </w:tc>
        <w:tc>
          <w:tcPr>
            <w:tcW w:w="1380" w:type="dxa"/>
            <w:vAlign w:val="bottom"/>
          </w:tcPr>
          <w:p>
            <w:pPr>
              <w:jc w:val="center"/>
              <w:ind w:left="281"/>
              <w:spacing w:after="0"/>
              <w:rPr>
                <w:sz w:val="20"/>
                <w:szCs w:val="20"/>
                <w:color w:val="auto"/>
              </w:rPr>
            </w:pPr>
            <w:r>
              <w:rPr>
                <w:rFonts w:ascii="Times New Roman" w:cs="Times New Roman" w:eastAsia="Times New Roman" w:hAnsi="Times New Roman"/>
                <w:sz w:val="16"/>
                <w:szCs w:val="16"/>
                <w:color w:val="auto"/>
                <w:w w:val="98"/>
              </w:rPr>
              <w:t>$(5,405)</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$(4,923)</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share—diluted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$(8.98)</w:t>
            </w:r>
          </w:p>
        </w:tc>
        <w:tc>
          <w:tcPr>
            <w:tcW w:w="800" w:type="dxa"/>
            <w:vAlign w:val="bottom"/>
            <w:shd w:val="clear" w:color="auto" w:fill="CCEEFF"/>
          </w:tcPr>
          <w:p>
            <w:pPr>
              <w:jc w:val="center"/>
              <w:ind w:left="201"/>
              <w:spacing w:after="0"/>
              <w:rPr>
                <w:sz w:val="20"/>
                <w:szCs w:val="20"/>
                <w:color w:val="auto"/>
              </w:rPr>
            </w:pPr>
            <w:r>
              <w:rPr>
                <w:rFonts w:ascii="Times New Roman" w:cs="Times New Roman" w:eastAsia="Times New Roman" w:hAnsi="Times New Roman"/>
                <w:sz w:val="16"/>
                <w:szCs w:val="16"/>
                <w:color w:val="auto"/>
                <w:w w:val="99"/>
              </w:rPr>
              <w:t>$3.46</w:t>
            </w:r>
          </w:p>
        </w:tc>
        <w:tc>
          <w:tcPr>
            <w:tcW w:w="138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w w:val="98"/>
              </w:rPr>
              <w:t>$(12.44)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w:t>
            </w:r>
          </w:p>
        </w:tc>
        <w:tc>
          <w:tcPr>
            <w:tcW w:w="12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$2.35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$(11.33)</w:t>
            </w: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$4,161</w:t>
            </w:r>
          </w:p>
        </w:tc>
        <w:tc>
          <w:tcPr>
            <w:tcW w:w="8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9"/>
              </w:rPr>
              <w:t>$4,415</w:t>
            </w:r>
          </w:p>
        </w:tc>
        <w:tc>
          <w:tcPr>
            <w:tcW w:w="1380" w:type="dxa"/>
            <w:vAlign w:val="bottom"/>
          </w:tcPr>
          <w:p>
            <w:pPr>
              <w:jc w:val="center"/>
              <w:ind w:left="281"/>
              <w:spacing w:after="0"/>
              <w:rPr>
                <w:sz w:val="20"/>
                <w:szCs w:val="20"/>
                <w:color w:val="auto"/>
              </w:rPr>
            </w:pPr>
            <w:r>
              <w:rPr>
                <w:rFonts w:ascii="Times New Roman" w:cs="Times New Roman" w:eastAsia="Times New Roman" w:hAnsi="Times New Roman"/>
                <w:sz w:val="16"/>
                <w:szCs w:val="16"/>
                <w:color w:val="auto"/>
                <w:w w:val="98"/>
              </w:rPr>
              <w:t>$(254)</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$4,168</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$(7)</w:t>
            </w: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AFFO</w:t>
            </w:r>
            <w:r>
              <w:rPr>
                <w:rFonts w:ascii="Times New Roman" w:cs="Times New Roman" w:eastAsia="Times New Roman" w:hAnsi="Times New Roman"/>
                <w:sz w:val="20"/>
                <w:szCs w:val="20"/>
                <w:color w:val="auto"/>
                <w:vertAlign w:val="superscript"/>
              </w:rPr>
              <w:t>(a)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$3,040</w:t>
            </w:r>
          </w:p>
        </w:tc>
        <w:tc>
          <w:tcPr>
            <w:tcW w:w="800" w:type="dxa"/>
            <w:vAlign w:val="bottom"/>
            <w:shd w:val="clear" w:color="auto" w:fill="CCEEFF"/>
          </w:tcPr>
          <w:p>
            <w:pPr>
              <w:jc w:val="center"/>
              <w:ind w:left="201"/>
              <w:spacing w:after="0"/>
              <w:rPr>
                <w:sz w:val="20"/>
                <w:szCs w:val="20"/>
                <w:color w:val="auto"/>
              </w:rPr>
            </w:pPr>
            <w:r>
              <w:rPr>
                <w:rFonts w:ascii="Times New Roman" w:cs="Times New Roman" w:eastAsia="Times New Roman" w:hAnsi="Times New Roman"/>
                <w:sz w:val="16"/>
                <w:szCs w:val="16"/>
                <w:color w:val="auto"/>
                <w:w w:val="99"/>
              </w:rPr>
              <w:t>$3,277</w:t>
            </w:r>
          </w:p>
        </w:tc>
        <w:tc>
          <w:tcPr>
            <w:tcW w:w="138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w w:val="98"/>
              </w:rPr>
              <w:t>$(237)</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$3,030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0" w:type="dxa"/>
            <w:vAlign w:val="bottom"/>
          </w:tcPr>
          <w:p>
            <w:pPr>
              <w:spacing w:after="0"/>
              <w:rPr>
                <w:sz w:val="1"/>
                <w:szCs w:val="1"/>
                <w:color w:val="auto"/>
              </w:rPr>
            </w:pPr>
          </w:p>
        </w:tc>
      </w:tr>
      <w:tr>
        <w:trPr>
          <w:trHeight w:val="268"/>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AFFO per share</w:t>
            </w:r>
            <w:r>
              <w:rPr>
                <w:rFonts w:ascii="Times New Roman" w:cs="Times New Roman" w:eastAsia="Times New Roman" w:hAnsi="Times New Roman"/>
                <w:sz w:val="20"/>
                <w:szCs w:val="20"/>
                <w:color w:val="auto"/>
                <w:vertAlign w:val="superscript"/>
              </w:rPr>
              <w:t>(a)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$6.98</w:t>
            </w:r>
          </w:p>
        </w:tc>
        <w:tc>
          <w:tcPr>
            <w:tcW w:w="800" w:type="dxa"/>
            <w:vAlign w:val="bottom"/>
          </w:tcPr>
          <w:p>
            <w:pPr>
              <w:jc w:val="center"/>
              <w:ind w:left="201"/>
              <w:spacing w:after="0"/>
              <w:rPr>
                <w:sz w:val="20"/>
                <w:szCs w:val="20"/>
                <w:color w:val="auto"/>
              </w:rPr>
            </w:pPr>
            <w:r>
              <w:rPr>
                <w:rFonts w:ascii="Times New Roman" w:cs="Times New Roman" w:eastAsia="Times New Roman" w:hAnsi="Times New Roman"/>
                <w:sz w:val="16"/>
                <w:szCs w:val="16"/>
                <w:color w:val="auto"/>
                <w:w w:val="99"/>
              </w:rPr>
              <w:t>$7.55</w:t>
            </w:r>
          </w:p>
        </w:tc>
        <w:tc>
          <w:tcPr>
            <w:tcW w:w="1380" w:type="dxa"/>
            <w:vAlign w:val="bottom"/>
          </w:tcPr>
          <w:p>
            <w:pPr>
              <w:jc w:val="center"/>
              <w:ind w:left="281"/>
              <w:spacing w:after="0"/>
              <w:rPr>
                <w:sz w:val="20"/>
                <w:szCs w:val="20"/>
                <w:color w:val="auto"/>
              </w:rPr>
            </w:pPr>
            <w:r>
              <w:rPr>
                <w:rFonts w:ascii="Times New Roman" w:cs="Times New Roman" w:eastAsia="Times New Roman" w:hAnsi="Times New Roman"/>
                <w:sz w:val="16"/>
                <w:szCs w:val="16"/>
                <w:color w:val="auto"/>
                <w:w w:val="98"/>
              </w:rPr>
              <w:t>$(0.57)</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$6.97</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0" w:type="dxa"/>
            <w:vAlign w:val="bottom"/>
          </w:tcPr>
          <w:p>
            <w:pPr>
              <w:spacing w:after="0"/>
              <w:rPr>
                <w:sz w:val="1"/>
                <w:szCs w:val="1"/>
                <w:color w:val="auto"/>
              </w:rPr>
            </w:pPr>
          </w:p>
        </w:tc>
      </w:tr>
    </w:tbl>
    <w:p>
      <w:pPr>
        <w:ind w:left="285" w:hanging="285"/>
        <w:spacing w:after="0"/>
        <w:tabs>
          <w:tab w:leader="none" w:pos="28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 including on a per share basis.</w:t>
      </w:r>
    </w:p>
    <w:p>
      <w:pPr>
        <w:spacing w:after="0" w:line="1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midpoint of full year 2024 Outlook as issued on October 16, 2024.</w:t>
      </w:r>
    </w:p>
    <w:p>
      <w:pPr>
        <w:spacing w:after="0" w:line="264" w:lineRule="exact"/>
        <w:rPr>
          <w:sz w:val="20"/>
          <w:szCs w:val="20"/>
          <w:color w:val="auto"/>
        </w:rPr>
      </w:pPr>
    </w:p>
    <w:p>
      <w:pPr>
        <w:jc w:val="both"/>
        <w:ind w:left="5" w:firstLine="568"/>
        <w:spacing w:after="0" w:line="339" w:lineRule="auto"/>
        <w:rPr>
          <w:sz w:val="20"/>
          <w:szCs w:val="20"/>
          <w:color w:val="auto"/>
        </w:rPr>
      </w:pPr>
      <w:r>
        <w:rPr>
          <w:rFonts w:ascii="Times New Roman" w:cs="Times New Roman" w:eastAsia="Times New Roman" w:hAnsi="Times New Roman"/>
          <w:sz w:val="17"/>
          <w:szCs w:val="17"/>
          <w:color w:val="auto"/>
        </w:rPr>
        <w:t>"Together with our Board of Directors, I am excited to announce that we have concluded the strategic review of our Fiber segment with an agreement to sell our small cells and fiber solutions businesses for $8.5 billion," stated Steven Moskowitz, Chief Executive Officer of Crown Castle. "We are also pleased to report that we were able to deliver solid full year 2024 results while conducting the strategic review, highlighted by 4.5% tower organic growth</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 xml:space="preserve"> as we remained focused on delivering for our customers. In 2025, we expect a consistent level of activity with organic growth</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 xml:space="preserve"> of 4.5% in towers, excluding the impact of Sprint consolidation churn, and anticipate lease and amendment applications to increase year-over-year as our customers continue to add capacity to their 5G networks to meet the persistent growth in mobile data demand in the U.S. We believe a focused, pure-play U.S.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121" w:right="319" w:bottom="1440" w:gutter="0" w:footer="0" w:header="0"/>
        </w:sectPr>
      </w:pPr>
    </w:p>
    <w:bookmarkStart w:id="4" w:name="page5"/>
    <w:bookmarkEnd w:id="4"/>
    <w:p>
      <w:pPr>
        <w:ind w:left="245"/>
        <w:spacing w:after="0"/>
        <w:tabs>
          <w:tab w:leader="none" w:pos="1060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w:t>
      </w:r>
    </w:p>
    <w:p>
      <w:pPr>
        <w:spacing w:after="0" w:line="200" w:lineRule="exact"/>
        <w:rPr>
          <w:sz w:val="20"/>
          <w:szCs w:val="20"/>
          <w:color w:val="auto"/>
        </w:rPr>
      </w:pPr>
    </w:p>
    <w:p>
      <w:pPr>
        <w:spacing w:after="0" w:line="324" w:lineRule="exact"/>
        <w:rPr>
          <w:sz w:val="20"/>
          <w:szCs w:val="20"/>
          <w:color w:val="auto"/>
        </w:rPr>
      </w:pPr>
    </w:p>
    <w:p>
      <w:pPr>
        <w:jc w:val="both"/>
        <w:ind w:left="5"/>
        <w:spacing w:after="0" w:line="345" w:lineRule="auto"/>
        <w:rPr>
          <w:sz w:val="20"/>
          <w:szCs w:val="20"/>
          <w:color w:val="auto"/>
        </w:rPr>
      </w:pPr>
      <w:r>
        <w:rPr>
          <w:rFonts w:ascii="Times New Roman" w:cs="Times New Roman" w:eastAsia="Times New Roman" w:hAnsi="Times New Roman"/>
          <w:sz w:val="17"/>
          <w:szCs w:val="17"/>
          <w:color w:val="auto"/>
        </w:rPr>
        <w:t>tower business will be uniquely well positioned to benefit from the anticipated consistent growth in mobile data demand as we plan to continue to unlock additional value by pursuing initiatives that enhance customer service, revenue growth, capital discipline, and operational excellence. To increase free cash flow generation and financial flexibility, we are updating our capital allocation framework, which is anticipated to result in a reduction to our annualized dividend to approximately $4.25 per share in the second quarter of 2025, and the expected implementation of an approximately $3.0 billion share repurchase program following the closing of the transaction</w:t>
      </w:r>
      <w:r>
        <w:rPr>
          <w:rFonts w:ascii="Times New Roman" w:cs="Times New Roman" w:eastAsia="Times New Roman" w:hAnsi="Times New Roman"/>
          <w:sz w:val="22"/>
          <w:szCs w:val="22"/>
          <w:color w:val="auto"/>
          <w:vertAlign w:val="superscript"/>
        </w:rPr>
        <w:t>(b)</w:t>
      </w:r>
      <w:r>
        <w:rPr>
          <w:rFonts w:ascii="Times New Roman" w:cs="Times New Roman" w:eastAsia="Times New Roman" w:hAnsi="Times New Roman"/>
          <w:sz w:val="17"/>
          <w:szCs w:val="17"/>
          <w:color w:val="auto"/>
        </w:rPr>
        <w:t>. We believe this capital allocation framework can provide an attractive combination of near-term capital return, flexible share repurchases, and long-term financial flexibility to pursue growth opportunities in the future."</w:t>
      </w:r>
    </w:p>
    <w:p>
      <w:pPr>
        <w:spacing w:after="0" w:line="4" w:lineRule="exact"/>
        <w:rPr>
          <w:sz w:val="20"/>
          <w:szCs w:val="20"/>
          <w:color w:val="auto"/>
        </w:rPr>
      </w:pPr>
    </w:p>
    <w:p>
      <w:pPr>
        <w:ind w:left="285" w:hanging="285"/>
        <w:spacing w:after="0"/>
        <w:tabs>
          <w:tab w:leader="none" w:pos="285"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Organic revenue growth figures are shown under new definition of Organic Contribution to Site Rental Billings. 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w:t>
      </w:r>
    </w:p>
    <w:p>
      <w:pPr>
        <w:spacing w:after="0" w:line="18" w:lineRule="exact"/>
        <w:rPr>
          <w:rFonts w:ascii="Times New Roman" w:cs="Times New Roman" w:eastAsia="Times New Roman" w:hAnsi="Times New Roman"/>
          <w:sz w:val="13"/>
          <w:szCs w:val="13"/>
          <w:color w:val="auto"/>
        </w:rPr>
      </w:pPr>
    </w:p>
    <w:p>
      <w:pPr>
        <w:ind w:left="285" w:right="20" w:hanging="285"/>
        <w:spacing w:after="0" w:line="270" w:lineRule="auto"/>
        <w:tabs>
          <w:tab w:leader="none" w:pos="279"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Dividends and the repurchase program remain subject to the approval of our Board of Directors which has the discretion to determine whether to declare dividends or authorize a repurchase program and the amounts and timing of the dividends and repurchase program.</w:t>
      </w:r>
    </w:p>
    <w:p>
      <w:pPr>
        <w:spacing w:after="0" w:line="3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COMPANY CONCLUDES STRATEGIC REVIEW WITH AGREEMENT TO SELL FIBER SEGMENT</w:t>
      </w:r>
    </w:p>
    <w:p>
      <w:pPr>
        <w:spacing w:after="0" w:line="114" w:lineRule="exact"/>
        <w:rPr>
          <w:sz w:val="20"/>
          <w:szCs w:val="20"/>
          <w:color w:val="auto"/>
        </w:rPr>
      </w:pPr>
    </w:p>
    <w:p>
      <w:pPr>
        <w:jc w:val="both"/>
        <w:ind w:left="5" w:right="20" w:firstLine="568"/>
        <w:spacing w:after="0" w:line="369" w:lineRule="auto"/>
        <w:rPr>
          <w:sz w:val="20"/>
          <w:szCs w:val="20"/>
          <w:color w:val="auto"/>
        </w:rPr>
      </w:pPr>
      <w:r>
        <w:rPr>
          <w:rFonts w:ascii="Times New Roman" w:cs="Times New Roman" w:eastAsia="Times New Roman" w:hAnsi="Times New Roman"/>
          <w:sz w:val="17"/>
          <w:szCs w:val="17"/>
          <w:color w:val="auto"/>
        </w:rPr>
        <w:t>The Company announced today that management has signed a definitive agreement to sell all of its Fiber segment, together with certain supporting assets and personnel, with EQT Active Core Infrastructure fund ("EQT") acquiring the small cells business and Zayo Group Holdings Inc. ("Zayo") acquiring the fiber solutions business ("Transaction") for $8.5 billion in aggregate, subject to customary closing adjustments. The Transaction is expected to close in the first half of 2026, subject to certain closing conditions and required government and regulatory approvals. Crown Castle currently expects to use the cash proceeds from the Transaction to repay existing indebtedness and fund anticipated share repurchases, positioning the Company to maintain an investment grade credit rating while instituting a share repurchase program of approximately $3.0 billion in conjunction with the closing of the Transaction. The Company's Board of Directors will ultimately determine how to use such cash proceeds.</w:t>
      </w:r>
    </w:p>
    <w:p>
      <w:pPr>
        <w:spacing w:after="0" w:line="1" w:lineRule="exact"/>
        <w:rPr>
          <w:sz w:val="20"/>
          <w:szCs w:val="20"/>
          <w:color w:val="auto"/>
        </w:rPr>
      </w:pPr>
    </w:p>
    <w:p>
      <w:pPr>
        <w:jc w:val="both"/>
        <w:ind w:left="5" w:firstLine="568"/>
        <w:spacing w:after="0" w:line="372" w:lineRule="auto"/>
        <w:rPr>
          <w:sz w:val="20"/>
          <w:szCs w:val="20"/>
          <w:color w:val="auto"/>
        </w:rPr>
      </w:pPr>
      <w:r>
        <w:rPr>
          <w:rFonts w:ascii="Times New Roman" w:cs="Times New Roman" w:eastAsia="Times New Roman" w:hAnsi="Times New Roman"/>
          <w:sz w:val="17"/>
          <w:szCs w:val="17"/>
          <w:color w:val="auto"/>
        </w:rPr>
        <w:t>As previously announced in December 2023, Crown Castle’s Board of Directors established a Fiber Review Committee to conduct a strategic and operating review of the Company’s small cells and fiber solutions businesses, with the goal of enhancing shareholder value. In consultation with its financial, legal and strategic advisors, the Fiber Review Committee, the Company’s Board of Directors and Company management conducted a comprehensive review of a broad range of potential options. Based on that review and after assessing offers from financial and strategic buyers that proposed a variety of transaction structures, the Company’s Board of Directors approved the sale of its small cells business to EQT and fiber solutions business to Zayo. Crown Castle believes this transaction enhances value for the Company’s shareholders and positions the company for long-term success as a focused, pure-play U.S. tower company.</w:t>
      </w:r>
    </w:p>
    <w:p>
      <w:pPr>
        <w:spacing w:after="0" w:line="3" w:lineRule="exact"/>
        <w:rPr>
          <w:sz w:val="20"/>
          <w:szCs w:val="20"/>
          <w:color w:val="auto"/>
        </w:rPr>
      </w:pPr>
    </w:p>
    <w:p>
      <w:pPr>
        <w:jc w:val="both"/>
        <w:ind w:left="5" w:firstLine="568"/>
        <w:spacing w:after="0" w:line="389" w:lineRule="auto"/>
        <w:rPr>
          <w:sz w:val="20"/>
          <w:szCs w:val="20"/>
          <w:color w:val="auto"/>
        </w:rPr>
      </w:pPr>
      <w:r>
        <w:rPr>
          <w:rFonts w:ascii="Times New Roman" w:cs="Times New Roman" w:eastAsia="Times New Roman" w:hAnsi="Times New Roman"/>
          <w:sz w:val="17"/>
          <w:szCs w:val="17"/>
          <w:color w:val="auto"/>
        </w:rPr>
        <w:t>As a pure-play U.S. tower company, Crown Castle believes it will have a unique opportunity to enhance shareholder value by providing focused exposure to what we believe to be the best market for wireless infrastructure in the world, which is expected to continue to experience increasing demand for wireless data that is expected to drive tower growth for years to come. Crown Castle believes its U.S. tower portfolio has some of the best</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5" w:name="page6"/>
    <w:bookmarkEnd w:id="5"/>
    <w:p>
      <w:pPr>
        <w:ind w:left="240"/>
        <w:spacing w:after="0"/>
        <w:tabs>
          <w:tab w:leader="none" w:pos="106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3</w:t>
      </w:r>
    </w:p>
    <w:p>
      <w:pPr>
        <w:spacing w:after="0" w:line="200" w:lineRule="exact"/>
        <w:rPr>
          <w:sz w:val="20"/>
          <w:szCs w:val="20"/>
          <w:color w:val="auto"/>
        </w:rPr>
      </w:pPr>
    </w:p>
    <w:p>
      <w:pPr>
        <w:spacing w:after="0" w:line="324"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7"/>
          <w:szCs w:val="17"/>
          <w:color w:val="auto"/>
        </w:rPr>
        <w:t>geographic characteristics in our industry and will benefit as carriers plan to continue the multi-decade trend toward greater network densification. To augment this expected industry growth, the Company believes it can maximize profitability by streamlining processes, reducing cycle times, and automating and customizing systems to deliver best-in-class service to its customers.</w:t>
      </w:r>
    </w:p>
    <w:p>
      <w:pPr>
        <w:spacing w:after="0" w:line="2" w:lineRule="exact"/>
        <w:rPr>
          <w:sz w:val="20"/>
          <w:szCs w:val="20"/>
          <w:color w:val="auto"/>
        </w:rPr>
      </w:pPr>
    </w:p>
    <w:p>
      <w:pPr>
        <w:jc w:val="both"/>
        <w:ind w:firstLine="568"/>
        <w:spacing w:after="0" w:line="370" w:lineRule="auto"/>
        <w:rPr>
          <w:sz w:val="20"/>
          <w:szCs w:val="20"/>
          <w:color w:val="auto"/>
        </w:rPr>
      </w:pPr>
      <w:r>
        <w:rPr>
          <w:rFonts w:ascii="Times New Roman" w:cs="Times New Roman" w:eastAsia="Times New Roman" w:hAnsi="Times New Roman"/>
          <w:sz w:val="17"/>
          <w:szCs w:val="17"/>
          <w:color w:val="auto"/>
        </w:rPr>
        <w:t>Along with the sale of the Fiber segment, Crown Castle is also announcing changes to its capital allocation framework. The Company currently expects to reduce its annualized dividend to approximately $4.25 per share starting in the second quarter of 2025. Following the closing of the Transaction, Crown Castle intends to set its annualized dividend at an amount approximating 75% to 80% of AFFO excluding amortization of prepaid rent. Based on the Company’s current expectations around future performance, Crown Castle believes it will be able to grow its annualized dividend in-line with the growth in AFFO excluding amortization of prepaid rent per share following the close of the Transaction. Any dividends remain subject to the approval of our Board of Directors which has the discretion to determine whether to declare dividends and the amounts and timing of the dividends.</w:t>
      </w:r>
    </w:p>
    <w:p>
      <w:pPr>
        <w:spacing w:after="0" w:line="1" w:lineRule="exact"/>
        <w:rPr>
          <w:sz w:val="20"/>
          <w:szCs w:val="20"/>
          <w:color w:val="auto"/>
        </w:rPr>
      </w:pPr>
    </w:p>
    <w:p>
      <w:pPr>
        <w:jc w:val="both"/>
        <w:ind w:firstLine="568"/>
        <w:spacing w:after="0" w:line="370" w:lineRule="auto"/>
        <w:rPr>
          <w:sz w:val="20"/>
          <w:szCs w:val="20"/>
          <w:color w:val="auto"/>
        </w:rPr>
      </w:pPr>
      <w:r>
        <w:rPr>
          <w:rFonts w:ascii="Times New Roman" w:cs="Times New Roman" w:eastAsia="Times New Roman" w:hAnsi="Times New Roman"/>
          <w:sz w:val="17"/>
          <w:szCs w:val="17"/>
          <w:color w:val="auto"/>
        </w:rPr>
        <w:t>Crown Castle currently expects to use the cash proceeds from the Transaction to repay debt and fund share repurchases, while managing its balance sheet to maintain an investment grade rating. Based on preliminary analysis, Crown Castle believes that the enhanced stability of its free cash flow profile as a pure-play U.S. tower business would allow it to maintain an investment grade credit rating with a target leverage of 6.0-6.5x. Consequently, subject to the approval of our Board of Directors, the Company intends to authorize a share repurchase program of approximately $3.0 billion (or such other amount as may be approved by our Board of Directors) in conjunction with the close of the Transaction. Crown Castle believes these changes to its dividend and leverage targets will increase the stability and predictability of Crown Castle’s cash flows while providing financial flexibility to maximize long-term returns for shareholders.</w:t>
      </w:r>
    </w:p>
    <w:p>
      <w:pPr>
        <w:spacing w:after="0" w:line="1" w:lineRule="exact"/>
        <w:rPr>
          <w:sz w:val="20"/>
          <w:szCs w:val="20"/>
          <w:color w:val="auto"/>
        </w:rPr>
      </w:pPr>
    </w:p>
    <w:p>
      <w:pPr>
        <w:jc w:val="both"/>
        <w:ind w:firstLine="568"/>
        <w:spacing w:after="0" w:line="385" w:lineRule="auto"/>
        <w:rPr>
          <w:sz w:val="20"/>
          <w:szCs w:val="20"/>
          <w:color w:val="auto"/>
        </w:rPr>
      </w:pPr>
      <w:r>
        <w:rPr>
          <w:rFonts w:ascii="Times New Roman" w:cs="Times New Roman" w:eastAsia="Times New Roman" w:hAnsi="Times New Roman"/>
          <w:sz w:val="17"/>
          <w:szCs w:val="17"/>
          <w:color w:val="auto"/>
        </w:rPr>
        <w:t>"Selling our Fiber segment represents a significant step on Crown Castle’s path towards a refined focus as a pure-play provider of multi-tenant tower assets," stated Mr. Moskowitz. "As we look ahead, with our expansive and capital efficient portfolio of approximately 40,000 towers across key locations in the U.S., which we believe is the best wireless market in the world, and greater focus on customer service and operational initiatives, we anticipate that we can generate durable and growing cash flows that will provide attractive returns to our shareholders."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ADVISORS</w:t>
      </w:r>
    </w:p>
    <w:p>
      <w:pPr>
        <w:spacing w:after="0" w:line="114" w:lineRule="exact"/>
        <w:rPr>
          <w:sz w:val="20"/>
          <w:szCs w:val="20"/>
          <w:color w:val="auto"/>
        </w:rPr>
      </w:pPr>
    </w:p>
    <w:p>
      <w:pPr>
        <w:jc w:val="both"/>
        <w:ind w:right="20" w:firstLine="568"/>
        <w:spacing w:after="0" w:line="401" w:lineRule="auto"/>
        <w:rPr>
          <w:sz w:val="20"/>
          <w:szCs w:val="20"/>
          <w:color w:val="auto"/>
        </w:rPr>
      </w:pPr>
      <w:r>
        <w:rPr>
          <w:rFonts w:ascii="Times New Roman" w:cs="Times New Roman" w:eastAsia="Times New Roman" w:hAnsi="Times New Roman"/>
          <w:sz w:val="17"/>
          <w:szCs w:val="17"/>
          <w:color w:val="auto"/>
        </w:rPr>
        <w:t>Morgan Stanley &amp; Co. LLC and Bank of America acted as financial advisors to Crown Castle on the Transaction. Paul, Weiss, Rifkind, Wharton &amp; Garrison LLP acted as legal advisor to Crown Castle.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ON FIBER SEGMENT ACCOUNTING TREATMENT</w:t>
      </w:r>
    </w:p>
    <w:p>
      <w:pPr>
        <w:spacing w:after="0" w:line="114" w:lineRule="exact"/>
        <w:rPr>
          <w:sz w:val="20"/>
          <w:szCs w:val="20"/>
          <w:color w:val="auto"/>
        </w:rPr>
      </w:pPr>
    </w:p>
    <w:p>
      <w:pPr>
        <w:jc w:val="both"/>
        <w:ind w:right="20" w:firstLine="568"/>
        <w:spacing w:after="0" w:line="389" w:lineRule="auto"/>
        <w:rPr>
          <w:sz w:val="20"/>
          <w:szCs w:val="20"/>
          <w:color w:val="auto"/>
        </w:rPr>
      </w:pPr>
      <w:r>
        <w:rPr>
          <w:rFonts w:ascii="Times New Roman" w:cs="Times New Roman" w:eastAsia="Times New Roman" w:hAnsi="Times New Roman"/>
          <w:sz w:val="17"/>
          <w:szCs w:val="17"/>
          <w:color w:val="auto"/>
        </w:rPr>
        <w:t>Beginning in the first quarter of 2025, the Fiber segment will be presented within Crown Castle’s financial statements as a discontinued operation and its net assets will be classified as held for sale, with comparable prior periods recast to reflect this change. Upon classification as held for sale, the Company expects to recognize a loss of approximately $800 million in the first quarter of 2025 and a total loss of between $700 million and $900 million</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6" w:name="page7"/>
    <w:bookmarkEnd w:id="6"/>
    <w:p>
      <w:pPr>
        <w:ind w:left="245"/>
        <w:spacing w:after="0"/>
        <w:tabs>
          <w:tab w:leader="none" w:pos="1060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4</w:t>
      </w:r>
    </w:p>
    <w:p>
      <w:pPr>
        <w:spacing w:after="0" w:line="200" w:lineRule="exact"/>
        <w:rPr>
          <w:sz w:val="20"/>
          <w:szCs w:val="20"/>
          <w:color w:val="auto"/>
        </w:rPr>
      </w:pPr>
    </w:p>
    <w:p>
      <w:pPr>
        <w:spacing w:after="0" w:line="324" w:lineRule="exact"/>
        <w:rPr>
          <w:sz w:val="20"/>
          <w:szCs w:val="20"/>
          <w:color w:val="auto"/>
        </w:rPr>
      </w:pPr>
    </w:p>
    <w:p>
      <w:pPr>
        <w:ind w:left="5" w:right="20"/>
        <w:spacing w:after="0" w:line="401" w:lineRule="auto"/>
        <w:rPr>
          <w:sz w:val="20"/>
          <w:szCs w:val="20"/>
          <w:color w:val="auto"/>
        </w:rPr>
      </w:pPr>
      <w:r>
        <w:rPr>
          <w:rFonts w:ascii="Times New Roman" w:cs="Times New Roman" w:eastAsia="Times New Roman" w:hAnsi="Times New Roman"/>
          <w:sz w:val="17"/>
          <w:szCs w:val="17"/>
          <w:color w:val="auto"/>
        </w:rPr>
        <w:t>for the full year 2025, inclusive of estimated transaction fees. Due to being included as a discontinued operation going forward, contributions from the Fiber segment are included in the Company’s full year 2025 Outlook for net income but excluded from site rental revenues, Adjusted EBITDA and AFFO.</w:t>
      </w:r>
    </w:p>
    <w:p>
      <w:pPr>
        <w:spacing w:after="0" w:line="3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HIGHLIGHTS FROM THE YEAR</w:t>
      </w:r>
    </w:p>
    <w:p>
      <w:pPr>
        <w:spacing w:after="0" w:line="242" w:lineRule="exact"/>
        <w:rPr>
          <w:sz w:val="20"/>
          <w:szCs w:val="20"/>
          <w:color w:val="auto"/>
        </w:rPr>
      </w:pPr>
    </w:p>
    <w:p>
      <w:pPr>
        <w:jc w:val="both"/>
        <w:ind w:left="145" w:hanging="145"/>
        <w:spacing w:after="0" w:line="380" w:lineRule="auto"/>
        <w:tabs>
          <w:tab w:leader="none" w:pos="1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Site rental revenues. </w:t>
      </w:r>
      <w:r>
        <w:rPr>
          <w:rFonts w:ascii="Times New Roman" w:cs="Times New Roman" w:eastAsia="Times New Roman" w:hAnsi="Times New Roman"/>
          <w:sz w:val="17"/>
          <w:szCs w:val="17"/>
          <w:color w:val="auto"/>
        </w:rPr>
        <w:t>Site rental revenues decreased 2.7%, or $174 million, from full year 2023 to full year 2024, inclusive of $235 million Organic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Contribution to Site Rental Billings, which was more than offset by reductions in non-cash amortization of prepaid rent and straight-lined revenues of $266 million and a $145 million decrease in other revenues. The $145 million decrease in other revenues includes a $165 million decrease due to the absence of Sprint Cancellation payments that occurred in 2023, partially offset by approximately $20 million of small cell early termination payments received in 2024. The $235 million in Organic Contribution to Site Rental Billings includes a $9 million unfavorable impact from Sprint Cancellations.</w:t>
      </w:r>
    </w:p>
    <w:p>
      <w:pPr>
        <w:spacing w:after="0" w:line="131" w:lineRule="exact"/>
        <w:rPr>
          <w:rFonts w:ascii="Times New Roman" w:cs="Times New Roman" w:eastAsia="Times New Roman" w:hAnsi="Times New Roman"/>
          <w:sz w:val="17"/>
          <w:szCs w:val="17"/>
          <w:color w:val="auto"/>
        </w:rPr>
      </w:pPr>
    </w:p>
    <w:p>
      <w:pPr>
        <w:jc w:val="both"/>
        <w:ind w:left="145" w:hanging="145"/>
        <w:spacing w:after="0" w:line="368" w:lineRule="auto"/>
        <w:tabs>
          <w:tab w:leader="none" w:pos="141" w:val="left"/>
        </w:tabs>
        <w:numPr>
          <w:ilvl w:val="0"/>
          <w:numId w:val="4"/>
        </w:numPr>
        <w:rPr>
          <w:rFonts w:ascii="Arial" w:cs="Arial" w:eastAsia="Arial" w:hAnsi="Arial"/>
          <w:sz w:val="19"/>
          <w:szCs w:val="19"/>
          <w:color w:val="auto"/>
        </w:rPr>
      </w:pPr>
      <w:r>
        <w:rPr>
          <w:rFonts w:ascii="Times New Roman" w:cs="Times New Roman" w:eastAsia="Times New Roman" w:hAnsi="Times New Roman"/>
          <w:sz w:val="17"/>
          <w:szCs w:val="17"/>
          <w:b w:val="1"/>
          <w:bCs w:val="1"/>
          <w:color w:val="auto"/>
        </w:rPr>
        <w:t xml:space="preserve">Goodwill impairment. </w:t>
      </w:r>
      <w:r>
        <w:rPr>
          <w:rFonts w:ascii="Times New Roman" w:cs="Times New Roman" w:eastAsia="Times New Roman" w:hAnsi="Times New Roman"/>
          <w:sz w:val="17"/>
          <w:szCs w:val="17"/>
          <w:color w:val="auto"/>
        </w:rPr>
        <w:t>Management performed its annual goodwill impairment test in the fourth quarter of 2024. The quantitative impairment test indicated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carrying amount of the Fiber reporting unit exceeded its estimated fair value. As such, management recorded a goodwill impairment charge of approximately $5.0 billion for the year ended December 31, 2024, resulting in no goodwill remaining with respect to the Fiber reporting unit.</w:t>
      </w:r>
    </w:p>
    <w:p>
      <w:pPr>
        <w:spacing w:after="0" w:line="118" w:lineRule="exact"/>
        <w:rPr>
          <w:rFonts w:ascii="Arial" w:cs="Arial" w:eastAsia="Arial" w:hAnsi="Arial"/>
          <w:sz w:val="19"/>
          <w:szCs w:val="19"/>
          <w:color w:val="auto"/>
        </w:rPr>
      </w:pPr>
    </w:p>
    <w:p>
      <w:pPr>
        <w:jc w:val="both"/>
        <w:ind w:left="145" w:right="20" w:hanging="145"/>
        <w:spacing w:after="0" w:line="381" w:lineRule="auto"/>
        <w:tabs>
          <w:tab w:leader="none" w:pos="1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17"/>
          <w:szCs w:val="17"/>
          <w:color w:val="auto"/>
        </w:rPr>
        <w:t>Net income for the full year 2024 was ($3.9) billion compared to $1.5 billion for the full year 2023, reflecting the $5.0 billion goodwill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impairment charge in 2024 associated with the Company’s Fiber business. Net income for full year 2024 also includes $100 million of charges related to the restructuring plan announced in June 2024 and a $106 million asset write-down charge related to the small cell node cancellations mutually agreed upon with certain of our customers announced in October 2024.</w:t>
      </w:r>
    </w:p>
    <w:p>
      <w:pPr>
        <w:spacing w:after="0" w:line="106" w:lineRule="exact"/>
        <w:rPr>
          <w:rFonts w:ascii="Times New Roman" w:cs="Times New Roman" w:eastAsia="Times New Roman" w:hAnsi="Times New Roman"/>
          <w:sz w:val="17"/>
          <w:szCs w:val="17"/>
          <w:color w:val="auto"/>
        </w:rPr>
      </w:pPr>
    </w:p>
    <w:p>
      <w:pPr>
        <w:jc w:val="both"/>
        <w:ind w:left="145" w:hanging="145"/>
        <w:spacing w:after="0" w:line="390" w:lineRule="auto"/>
        <w:tabs>
          <w:tab w:leader="none" w:pos="1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17"/>
          <w:szCs w:val="17"/>
          <w:color w:val="auto"/>
        </w:rPr>
        <w:t>. Full year 2024 Adjusted EBITDA was $4.2 billion compared to $4.4 billion for the full year 2023. The decrease in the year was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result of the lower contribution from site rental revenues, as discussed above, a $42 million decrease in services contribution, and $40 million of advisory fees primarily related to our proxy contest earlier in the year and the Fiber strategic review.</w:t>
      </w:r>
    </w:p>
    <w:p>
      <w:pPr>
        <w:spacing w:after="0" w:line="87" w:lineRule="exact"/>
        <w:rPr>
          <w:rFonts w:ascii="Times New Roman" w:cs="Times New Roman" w:eastAsia="Times New Roman" w:hAnsi="Times New Roman"/>
          <w:sz w:val="17"/>
          <w:szCs w:val="17"/>
          <w:color w:val="auto"/>
        </w:rPr>
      </w:pPr>
    </w:p>
    <w:p>
      <w:pPr>
        <w:ind w:left="125" w:hanging="125"/>
        <w:spacing w:after="0"/>
        <w:tabs>
          <w:tab w:leader="none" w:pos="1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AFFO and AFFO per share. </w:t>
      </w:r>
      <w:r>
        <w:rPr>
          <w:rFonts w:ascii="Times New Roman" w:cs="Times New Roman" w:eastAsia="Times New Roman" w:hAnsi="Times New Roman"/>
          <w:sz w:val="17"/>
          <w:szCs w:val="17"/>
          <w:color w:val="auto"/>
        </w:rPr>
        <w:t>Full year 2024 AFFO was $3.0 billion, or $6.98 per share, representing a 7% decrease, or 8% per share, from the full year 2023.</w:t>
      </w:r>
    </w:p>
    <w:p>
      <w:pPr>
        <w:spacing w:after="0" w:line="277" w:lineRule="exact"/>
        <w:rPr>
          <w:rFonts w:ascii="Times New Roman" w:cs="Times New Roman" w:eastAsia="Times New Roman" w:hAnsi="Times New Roman"/>
          <w:sz w:val="17"/>
          <w:szCs w:val="17"/>
          <w:color w:val="auto"/>
        </w:rPr>
      </w:pPr>
    </w:p>
    <w:p>
      <w:pPr>
        <w:jc w:val="both"/>
        <w:ind w:left="145" w:hanging="145"/>
        <w:spacing w:after="0" w:line="371" w:lineRule="auto"/>
        <w:tabs>
          <w:tab w:leader="none" w:pos="141" w:val="left"/>
        </w:tabs>
        <w:numPr>
          <w:ilvl w:val="0"/>
          <w:numId w:val="4"/>
        </w:numPr>
        <w:rPr>
          <w:rFonts w:ascii="Arial" w:cs="Arial" w:eastAsia="Arial" w:hAnsi="Arial"/>
          <w:sz w:val="19"/>
          <w:szCs w:val="19"/>
          <w:color w:val="auto"/>
        </w:rPr>
      </w:pPr>
      <w:r>
        <w:rPr>
          <w:rFonts w:ascii="Times New Roman" w:cs="Times New Roman" w:eastAsia="Times New Roman" w:hAnsi="Times New Roman"/>
          <w:sz w:val="17"/>
          <w:szCs w:val="17"/>
          <w:b w:val="1"/>
          <w:bCs w:val="1"/>
          <w:color w:val="auto"/>
        </w:rPr>
        <w:t xml:space="preserve">Capital expenditures. </w:t>
      </w:r>
      <w:r>
        <w:rPr>
          <w:rFonts w:ascii="Times New Roman" w:cs="Times New Roman" w:eastAsia="Times New Roman" w:hAnsi="Times New Roman"/>
          <w:sz w:val="17"/>
          <w:szCs w:val="17"/>
          <w:color w:val="auto"/>
        </w:rPr>
        <w:t>Capital expenditures during the year were $1.2 billion, comprised of $1.1 billion of discretionary capital expenditures and $87 million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sustaining capital expenditures. Discretionary capital expenditures included approximately $1.0 billion attributable to Fiber and $100 million attributable to Towers. Full year 2024 capital expenditures represented a $202 million decrease compared to full year 2023, including a decrease of $61 million in Towers and $130 million in Fiber.</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7" w:name="page8"/>
    <w:bookmarkEnd w:id="7"/>
    <w:p>
      <w:pPr>
        <w:ind w:left="245"/>
        <w:spacing w:after="0"/>
        <w:tabs>
          <w:tab w:leader="none" w:pos="1060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5" w:hanging="145"/>
        <w:spacing w:after="0" w:line="403" w:lineRule="auto"/>
        <w:tabs>
          <w:tab w:leader="none" w:pos="1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Common stock dividend. </w:t>
      </w:r>
      <w:r>
        <w:rPr>
          <w:rFonts w:ascii="Times New Roman" w:cs="Times New Roman" w:eastAsia="Times New Roman" w:hAnsi="Times New Roman"/>
          <w:sz w:val="17"/>
          <w:szCs w:val="17"/>
          <w:color w:val="auto"/>
        </w:rPr>
        <w:t>During the year, Crown Castle paid common stock dividends of approximately $2.7 billion in the aggregate, or $6.26 per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unchanged on a per share basis compared to the same period a year ago.</w:t>
      </w:r>
    </w:p>
    <w:p>
      <w:pPr>
        <w:spacing w:after="0" w:line="88" w:lineRule="exact"/>
        <w:rPr>
          <w:rFonts w:ascii="Times New Roman" w:cs="Times New Roman" w:eastAsia="Times New Roman" w:hAnsi="Times New Roman"/>
          <w:sz w:val="17"/>
          <w:szCs w:val="17"/>
          <w:color w:val="auto"/>
        </w:rPr>
      </w:pPr>
    </w:p>
    <w:p>
      <w:pPr>
        <w:jc w:val="both"/>
        <w:ind w:left="145" w:right="20" w:hanging="145"/>
        <w:spacing w:after="0" w:line="390" w:lineRule="auto"/>
        <w:tabs>
          <w:tab w:leader="none" w:pos="1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Financing activity. </w:t>
      </w:r>
      <w:r>
        <w:rPr>
          <w:rFonts w:ascii="Times New Roman" w:cs="Times New Roman" w:eastAsia="Times New Roman" w:hAnsi="Times New Roman"/>
          <w:sz w:val="17"/>
          <w:szCs w:val="17"/>
          <w:color w:val="auto"/>
        </w:rPr>
        <w:t>In August 2024, Crown Castle issued $1.25 billion in aggregate principal amount of senior unsecured notes in a combination of 5-year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10-year maturities with a weighted average maturity and coupon of approximately 8 years and 5.1%, respectively. Net proceeds from the senior notes offering were used to repay a portion of the outstanding indebtedness under Crown Castle's commercial paper program and pay related fees and expenses.</w:t>
      </w:r>
    </w:p>
    <w:p>
      <w:pPr>
        <w:spacing w:after="0" w:line="3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114" w:lineRule="exact"/>
        <w:rPr>
          <w:sz w:val="20"/>
          <w:szCs w:val="20"/>
          <w:color w:val="auto"/>
        </w:rPr>
      </w:pPr>
    </w:p>
    <w:p>
      <w:pPr>
        <w:jc w:val="both"/>
        <w:ind w:left="5" w:firstLine="568"/>
        <w:spacing w:after="0" w:line="370" w:lineRule="auto"/>
        <w:rPr>
          <w:sz w:val="20"/>
          <w:szCs w:val="20"/>
          <w:color w:val="auto"/>
        </w:rPr>
      </w:pPr>
      <w:r>
        <w:rPr>
          <w:rFonts w:ascii="Times New Roman" w:cs="Times New Roman" w:eastAsia="Times New Roman" w:hAnsi="Times New Roman"/>
          <w:sz w:val="17"/>
          <w:szCs w:val="17"/>
          <w:color w:val="auto"/>
        </w:rPr>
        <w:t>This Outlook section contains forward-looking statements, and actual results may differ materially. Information regarding potential risks which could cause actual results to differ from the forward-looking statements herein is set forth below and in Crown Castle's filings with the SEC.</w:t>
      </w:r>
    </w:p>
    <w:p>
      <w:pPr>
        <w:jc w:val="both"/>
        <w:ind w:left="5" w:firstLine="568"/>
        <w:spacing w:after="0" w:line="376" w:lineRule="auto"/>
        <w:rPr>
          <w:sz w:val="20"/>
          <w:szCs w:val="20"/>
          <w:color w:val="auto"/>
        </w:rPr>
      </w:pPr>
      <w:r>
        <w:rPr>
          <w:rFonts w:ascii="Times New Roman" w:cs="Times New Roman" w:eastAsia="Times New Roman" w:hAnsi="Times New Roman"/>
          <w:sz w:val="17"/>
          <w:szCs w:val="17"/>
          <w:color w:val="auto"/>
        </w:rPr>
        <w:t>The following table sets forth Crown Castle's current full year 2025 Outlook, which does not include contributions from its Fiber segment unless indicated otherwise. Although Fiber segment results have been excluded from our key performance measurements, except net income and net income per share, full year 2025 Outlook does not assume any receipt or use of proceeds from the Transaction. Additionally, the 2025 Outlook reflects the full impact of all corporate financing costs and a significant majority of corporate selling, general and administrative costs. Collectively, these items result in lower FFO, AFFO, and AFFO per share than would be the case if those proceeds are applied as anticipated upon closing of the Transaction. Therefore, the full year 2025 Outlook for FFO, AFFO, and AFFO per share and are not representative of pro forma results for the standalone tower business following the closing of the Transaction.</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8" w:name="page9"/>
    <w:bookmarkEnd w:id="8"/>
    <w:p>
      <w:pPr>
        <w:ind w:left="245"/>
        <w:spacing w:after="0"/>
        <w:tabs>
          <w:tab w:leader="none" w:pos="1060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6</w:t>
      </w:r>
    </w:p>
    <w:p>
      <w:pPr>
        <w:spacing w:after="0" w:line="200" w:lineRule="exact"/>
        <w:rPr>
          <w:sz w:val="20"/>
          <w:szCs w:val="20"/>
          <w:color w:val="auto"/>
        </w:rPr>
      </w:pPr>
    </w:p>
    <w:p>
      <w:pPr>
        <w:spacing w:after="0" w:line="385"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4440" w:type="dxa"/>
            <w:vAlign w:val="bottom"/>
            <w:tcBorders>
              <w:bottom w:val="single" w:sz="8" w:color="auto"/>
            </w:tcBorders>
            <w:gridSpan w:val="2"/>
          </w:tcPr>
          <w:p>
            <w:pPr>
              <w:ind w:left="2700"/>
              <w:spacing w:after="0"/>
              <w:rPr>
                <w:sz w:val="20"/>
                <w:szCs w:val="20"/>
                <w:color w:val="auto"/>
              </w:rPr>
            </w:pPr>
            <w:r>
              <w:rPr>
                <w:rFonts w:ascii="Times New Roman" w:cs="Times New Roman" w:eastAsia="Times New Roman" w:hAnsi="Times New Roman"/>
                <w:sz w:val="16"/>
                <w:szCs w:val="16"/>
                <w:color w:val="auto"/>
              </w:rPr>
              <w:t>Full Year 2025</w:t>
            </w:r>
          </w:p>
        </w:tc>
      </w:tr>
      <w:tr>
        <w:trPr>
          <w:trHeight w:val="193"/>
        </w:trPr>
        <w:tc>
          <w:tcPr>
            <w:tcW w:w="682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6"/>
                <w:szCs w:val="16"/>
                <w:color w:val="auto"/>
              </w:rPr>
              <w:t>Site rental billings</w:t>
            </w:r>
            <w:r>
              <w:rPr>
                <w:rFonts w:ascii="Times New Roman" w:cs="Times New Roman" w:eastAsia="Times New Roman" w:hAnsi="Times New Roman"/>
                <w:sz w:val="20"/>
                <w:szCs w:val="20"/>
                <w:color w:val="auto"/>
                <w:vertAlign w:val="superscript"/>
              </w:rPr>
              <w:t>(a)</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$3,885</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$3,915</w:t>
            </w:r>
          </w:p>
        </w:tc>
      </w:tr>
      <w:tr>
        <w:trPr>
          <w:trHeight w:val="201"/>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prepaid rent</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$110</w:t>
            </w:r>
          </w:p>
        </w:tc>
      </w:tr>
      <w:tr>
        <w:trPr>
          <w:trHeight w:val="20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Straight-lined revenues</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$15</w:t>
            </w:r>
          </w:p>
        </w:tc>
      </w:tr>
      <w:tr>
        <w:trPr>
          <w:trHeight w:val="201"/>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$15</w:t>
            </w:r>
          </w:p>
        </w:tc>
      </w:tr>
      <w:tr>
        <w:trPr>
          <w:trHeight w:val="20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rental revenues</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$3,987</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$4,032</w:t>
            </w:r>
          </w:p>
        </w:tc>
      </w:tr>
      <w:tr>
        <w:trPr>
          <w:trHeight w:val="201"/>
        </w:trPr>
        <w:tc>
          <w:tcPr>
            <w:tcW w:w="682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Site rental costs of operations</w:t>
            </w:r>
            <w:r>
              <w:rPr>
                <w:rFonts w:ascii="Times New Roman" w:cs="Times New Roman" w:eastAsia="Times New Roman" w:hAnsi="Times New Roman"/>
                <w:sz w:val="20"/>
                <w:szCs w:val="20"/>
                <w:color w:val="auto"/>
                <w:vertAlign w:val="superscript"/>
              </w:rPr>
              <w:t>(b)</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$987</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$1,032</w:t>
            </w:r>
          </w:p>
        </w:tc>
      </w:tr>
      <w:tr>
        <w:trPr>
          <w:trHeight w:val="20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 gross margin</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$100</w:t>
            </w:r>
          </w:p>
        </w:tc>
      </w:tr>
      <w:tr>
        <w:trPr>
          <w:trHeight w:val="201"/>
        </w:trPr>
        <w:tc>
          <w:tcPr>
            <w:tcW w:w="682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Net income (loss)</w:t>
            </w:r>
            <w:r>
              <w:rPr>
                <w:rFonts w:ascii="Times New Roman" w:cs="Times New Roman" w:eastAsia="Times New Roman" w:hAnsi="Times New Roman"/>
                <w:sz w:val="20"/>
                <w:szCs w:val="20"/>
                <w:color w:val="auto"/>
                <w:vertAlign w:val="superscript"/>
              </w:rPr>
              <w:t>(c)</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$65</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$345</w:t>
            </w:r>
          </w:p>
        </w:tc>
      </w:tr>
      <w:tr>
        <w:trPr>
          <w:trHeight w:val="201"/>
        </w:trPr>
        <w:tc>
          <w:tcPr>
            <w:tcW w:w="68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Net income (loss) per share—diluted</w:t>
            </w:r>
            <w:r>
              <w:rPr>
                <w:rFonts w:ascii="Times New Roman" w:cs="Times New Roman" w:eastAsia="Times New Roman" w:hAnsi="Times New Roman"/>
                <w:sz w:val="20"/>
                <w:szCs w:val="20"/>
                <w:color w:val="auto"/>
                <w:vertAlign w:val="superscript"/>
              </w:rPr>
              <w:t>(c)</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$0.15</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$0.79</w:t>
            </w:r>
          </w:p>
        </w:tc>
      </w:tr>
      <w:tr>
        <w:trPr>
          <w:trHeight w:val="201"/>
        </w:trPr>
        <w:tc>
          <w:tcPr>
            <w:tcW w:w="6820" w:type="dxa"/>
            <w:vAlign w:val="bottom"/>
          </w:tcPr>
          <w:p>
            <w:pPr>
              <w:ind w:left="20"/>
              <w:spacing w:after="0" w:line="201"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0"/>
                <w:szCs w:val="20"/>
                <w:color w:val="auto"/>
                <w:vertAlign w:val="superscript"/>
              </w:rPr>
              <w:t>(a)</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$2,755</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$2,805</w:t>
            </w:r>
          </w:p>
        </w:tc>
      </w:tr>
      <w:tr>
        <w:trPr>
          <w:trHeight w:val="23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$678</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$773</w:t>
            </w:r>
          </w:p>
        </w:tc>
      </w:tr>
      <w:tr>
        <w:trPr>
          <w:trHeight w:val="248"/>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amortization of deferred financing costs, net</w:t>
            </w:r>
            <w:r>
              <w:rPr>
                <w:rFonts w:ascii="Times New Roman" w:cs="Times New Roman" w:eastAsia="Times New Roman" w:hAnsi="Times New Roman"/>
                <w:sz w:val="20"/>
                <w:szCs w:val="20"/>
                <w:color w:val="auto"/>
                <w:vertAlign w:val="superscript"/>
              </w:rPr>
              <w:t>(d)</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$982</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$1,027</w:t>
            </w:r>
          </w:p>
        </w:tc>
      </w:tr>
      <w:tr>
        <w:trPr>
          <w:trHeight w:val="201"/>
        </w:trPr>
        <w:tc>
          <w:tcPr>
            <w:tcW w:w="68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Net income (loss) from discontinued operations</w:t>
            </w:r>
            <w:r>
              <w:rPr>
                <w:rFonts w:ascii="Times New Roman" w:cs="Times New Roman" w:eastAsia="Times New Roman" w:hAnsi="Times New Roman"/>
                <w:sz w:val="20"/>
                <w:szCs w:val="20"/>
                <w:color w:val="auto"/>
                <w:vertAlign w:val="superscript"/>
              </w:rPr>
              <w:t>(e)</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($830)</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($590)</w:t>
            </w:r>
          </w:p>
        </w:tc>
      </w:tr>
      <w:tr>
        <w:trPr>
          <w:trHeight w:val="201"/>
        </w:trPr>
        <w:tc>
          <w:tcPr>
            <w:tcW w:w="6820" w:type="dxa"/>
            <w:vAlign w:val="bottom"/>
          </w:tcPr>
          <w:p>
            <w:pPr>
              <w:ind w:left="20"/>
              <w:spacing w:after="0" w:line="201" w:lineRule="exact"/>
              <w:rPr>
                <w:sz w:val="20"/>
                <w:szCs w:val="20"/>
                <w:color w:val="auto"/>
              </w:rPr>
            </w:pPr>
            <w:r>
              <w:rPr>
                <w:rFonts w:ascii="Times New Roman" w:cs="Times New Roman" w:eastAsia="Times New Roman" w:hAnsi="Times New Roman"/>
                <w:sz w:val="23"/>
                <w:szCs w:val="23"/>
                <w:color w:val="auto"/>
                <w:vertAlign w:val="subscript"/>
              </w:rPr>
              <w:t>FFO</w:t>
            </w:r>
            <w:r>
              <w:rPr>
                <w:rFonts w:ascii="Times New Roman" w:cs="Times New Roman" w:eastAsia="Times New Roman" w:hAnsi="Times New Roman"/>
                <w:sz w:val="9"/>
                <w:szCs w:val="9"/>
                <w:color w:val="auto"/>
              </w:rPr>
              <w:t>(a)</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$1,610</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$1,640</w:t>
            </w:r>
          </w:p>
        </w:tc>
      </w:tr>
      <w:tr>
        <w:trPr>
          <w:trHeight w:val="201"/>
        </w:trPr>
        <w:tc>
          <w:tcPr>
            <w:tcW w:w="68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6"/>
                <w:szCs w:val="16"/>
                <w:color w:val="auto"/>
              </w:rPr>
              <w:t>AFFO</w:t>
            </w:r>
            <w:r>
              <w:rPr>
                <w:rFonts w:ascii="Times New Roman" w:cs="Times New Roman" w:eastAsia="Times New Roman" w:hAnsi="Times New Roman"/>
                <w:sz w:val="20"/>
                <w:szCs w:val="20"/>
                <w:color w:val="auto"/>
                <w:vertAlign w:val="superscript"/>
              </w:rPr>
              <w:t>(a)</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$1,770</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$1,820</w:t>
            </w:r>
          </w:p>
        </w:tc>
      </w:tr>
      <w:tr>
        <w:trPr>
          <w:trHeight w:val="248"/>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AFFO per share</w:t>
            </w:r>
            <w:r>
              <w:rPr>
                <w:rFonts w:ascii="Times New Roman" w:cs="Times New Roman" w:eastAsia="Times New Roman" w:hAnsi="Times New Roman"/>
                <w:sz w:val="20"/>
                <w:szCs w:val="20"/>
                <w:color w:val="auto"/>
                <w:vertAlign w:val="superscript"/>
              </w:rPr>
              <w:t>(a)</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$4.06</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$4.17</w:t>
            </w:r>
          </w:p>
        </w:tc>
      </w:tr>
      <w:tr>
        <w:trPr>
          <w:trHeight w:val="23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Discretionary capital expenditures</w:t>
            </w:r>
            <w:r>
              <w:rPr>
                <w:rFonts w:ascii="Times New Roman" w:cs="Times New Roman" w:eastAsia="Times New Roman" w:hAnsi="Times New Roman"/>
                <w:sz w:val="20"/>
                <w:szCs w:val="20"/>
                <w:color w:val="auto"/>
                <w:vertAlign w:val="superscript"/>
              </w:rPr>
              <w:t>(a)</w:t>
            </w:r>
          </w:p>
        </w:tc>
        <w:tc>
          <w:tcPr>
            <w:tcW w:w="31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$185</w:t>
            </w:r>
          </w:p>
        </w:tc>
        <w:tc>
          <w:tcPr>
            <w:tcW w:w="1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 $185</w:t>
            </w:r>
          </w:p>
        </w:tc>
      </w:tr>
      <w:tr>
        <w:trPr>
          <w:trHeight w:val="28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Discretionary capital expenditures from discontinued operations</w:t>
            </w:r>
            <w:r>
              <w:rPr>
                <w:rFonts w:ascii="Times New Roman" w:cs="Times New Roman" w:eastAsia="Times New Roman" w:hAnsi="Times New Roman"/>
                <w:sz w:val="20"/>
                <w:szCs w:val="20"/>
                <w:color w:val="auto"/>
                <w:vertAlign w:val="superscript"/>
              </w:rPr>
              <w:t>(e)</w:t>
            </w:r>
          </w:p>
        </w:tc>
        <w:tc>
          <w:tcPr>
            <w:tcW w:w="3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$920</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 $1,020</w:t>
            </w:r>
          </w:p>
        </w:tc>
      </w:tr>
    </w:tbl>
    <w:p>
      <w:pPr>
        <w:spacing w:after="0" w:line="24" w:lineRule="exact"/>
        <w:rPr>
          <w:sz w:val="20"/>
          <w:szCs w:val="20"/>
          <w:color w:val="auto"/>
        </w:rPr>
      </w:pPr>
    </w:p>
    <w:p>
      <w:pPr>
        <w:ind w:left="285" w:right="20" w:hanging="285"/>
        <w:spacing w:after="0" w:line="267" w:lineRule="auto"/>
        <w:tabs>
          <w:tab w:leader="none" w:pos="283"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 including on a per share basis, and for definition of site rental billings and discretionary capital expenditures.</w:t>
      </w:r>
    </w:p>
    <w:p>
      <w:pPr>
        <w:ind w:left="285" w:hanging="285"/>
        <w:spacing w:after="0"/>
        <w:tabs>
          <w:tab w:leader="none" w:pos="28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w:t>
      </w:r>
    </w:p>
    <w:p>
      <w:pPr>
        <w:spacing w:after="0" w:line="16"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contributions from discontinued operations.</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the reconciliation of "</w:t>
      </w:r>
      <w:r>
        <w:rPr>
          <w:rFonts w:ascii="Times New Roman" w:cs="Times New Roman" w:eastAsia="Times New Roman" w:hAnsi="Times New Roman"/>
          <w:sz w:val="13"/>
          <w:szCs w:val="13"/>
          <w:i w:val="1"/>
          <w:iCs w:val="1"/>
          <w:color w:val="auto"/>
        </w:rPr>
        <w:t>Outlook for Components of Interest Expense."</w:t>
      </w:r>
    </w:p>
    <w:p>
      <w:pPr>
        <w:spacing w:after="0" w:line="5"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spacing w:after="0" w:line="200" w:lineRule="exact"/>
        <w:rPr>
          <w:sz w:val="20"/>
          <w:szCs w:val="20"/>
          <w:color w:val="auto"/>
        </w:rPr>
      </w:pPr>
    </w:p>
    <w:p>
      <w:pPr>
        <w:spacing w:after="0" w:line="276" w:lineRule="exact"/>
        <w:rPr>
          <w:sz w:val="20"/>
          <w:szCs w:val="20"/>
          <w:color w:val="auto"/>
        </w:rPr>
      </w:pPr>
    </w:p>
    <w:p>
      <w:pPr>
        <w:jc w:val="both"/>
        <w:ind w:left="5" w:firstLine="568"/>
        <w:spacing w:after="0" w:line="379" w:lineRule="auto"/>
        <w:rPr>
          <w:sz w:val="20"/>
          <w:szCs w:val="20"/>
          <w:color w:val="auto"/>
        </w:rPr>
      </w:pPr>
      <w:r>
        <w:rPr>
          <w:rFonts w:ascii="Times New Roman" w:cs="Times New Roman" w:eastAsia="Times New Roman" w:hAnsi="Times New Roman"/>
          <w:sz w:val="17"/>
          <w:szCs w:val="17"/>
          <w:color w:val="auto"/>
        </w:rPr>
        <w:t>"Our expectations for 2025 represent the second consecutive year of 4.5% tower organic growth, excluding the impact of Sprint cancellations, as the level of demand for our assets we experienced in 2024 persists into 2025," said Dan Schlanger, Crown Castle’s Chief Financial Officer. "We believe the anticipated durable tower top-line growth combined with the changes we plan to make to our capital allocation framework following the closing of the Transaction will increase the stability and predictability of Crown Castle’s cash flows, maximizing long-term shareholder value. These changes are also expected to increase the health and flexibility of the balance sheet, which we believe will continue to be investment grade rated, positioning Crown Castle to take advantage of the opportunities being created by the increasing demand for connectivity in the U.S."</w:t>
      </w:r>
    </w:p>
    <w:p>
      <w:pPr>
        <w:spacing w:after="0" w:line="123" w:lineRule="exact"/>
        <w:rPr>
          <w:sz w:val="20"/>
          <w:szCs w:val="20"/>
          <w:color w:val="auto"/>
        </w:rPr>
      </w:pPr>
    </w:p>
    <w:p>
      <w:pPr>
        <w:jc w:val="both"/>
        <w:ind w:left="145" w:right="20" w:hanging="145"/>
        <w:spacing w:after="0" w:line="374" w:lineRule="auto"/>
        <w:tabs>
          <w:tab w:leader="none" w:pos="141" w:val="left"/>
        </w:tabs>
        <w:numPr>
          <w:ilvl w:val="0"/>
          <w:numId w:val="7"/>
        </w:numPr>
        <w:rPr>
          <w:rFonts w:ascii="Arial" w:cs="Arial" w:eastAsia="Arial" w:hAnsi="Arial"/>
          <w:sz w:val="19"/>
          <w:szCs w:val="19"/>
          <w:color w:val="auto"/>
        </w:rPr>
      </w:pPr>
      <w:r>
        <w:rPr>
          <w:rFonts w:ascii="Times New Roman" w:cs="Times New Roman" w:eastAsia="Times New Roman" w:hAnsi="Times New Roman"/>
          <w:sz w:val="17"/>
          <w:szCs w:val="17"/>
          <w:color w:val="auto"/>
        </w:rPr>
        <w:t>The chart below reconciles the components contributing to the expected 2025 decrease in site rental revenues. Full year consolidated site rental billings growth, excluding the impact of Sprint Cancellations, is expected to be 4.5%. For comparative purposes, full year 2024 results are shown excluding contributions from the Fiber segment.</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9" w:name="page10"/>
    <w:bookmarkEnd w:id="9"/>
    <w:p>
      <w:pPr>
        <w:ind w:left="245"/>
        <w:spacing w:after="0"/>
        <w:tabs>
          <w:tab w:leader="none" w:pos="1060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315595</wp:posOffset>
            </wp:positionV>
            <wp:extent cx="5136515" cy="2395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6515"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145" w:right="80" w:hanging="145"/>
        <w:spacing w:after="0" w:line="365" w:lineRule="auto"/>
        <w:tabs>
          <w:tab w:leader="none" w:pos="141" w:val="left"/>
        </w:tabs>
        <w:numPr>
          <w:ilvl w:val="0"/>
          <w:numId w:val="8"/>
        </w:numPr>
        <w:rPr>
          <w:rFonts w:ascii="Arial" w:cs="Arial" w:eastAsia="Arial" w:hAnsi="Arial"/>
          <w:sz w:val="19"/>
          <w:szCs w:val="19"/>
          <w:color w:val="auto"/>
        </w:rPr>
      </w:pPr>
      <w:r>
        <w:rPr>
          <w:rFonts w:ascii="Times New Roman" w:cs="Times New Roman" w:eastAsia="Times New Roman" w:hAnsi="Times New Roman"/>
          <w:sz w:val="17"/>
          <w:szCs w:val="17"/>
          <w:color w:val="auto"/>
        </w:rPr>
        <w:t>We are changing our core leasing definition to more accurately reflect changes to recurring revenue by excluding the impact from changes in other billings and other revenues (as described below). Other billings, which is included in site rental billings, captures the impact of contractual charges unrelated to recurring leasing activity, such as back-billings. Other revenues captures the impact of unusual items we believe should be reflected outside of core leasing, primarily pass-through taxes and tenant cancellation fees. Core leasing activity is expected to contribute $110 million at the midpoint of full year 2025 Outlook.</w:t>
      </w:r>
    </w:p>
    <w:p>
      <w:pPr>
        <w:spacing w:after="0" w:line="17" w:lineRule="exact"/>
        <w:rPr>
          <w:rFonts w:ascii="Arial" w:cs="Arial" w:eastAsia="Arial" w:hAnsi="Arial"/>
          <w:sz w:val="19"/>
          <w:szCs w:val="19"/>
          <w:color w:val="auto"/>
        </w:rPr>
      </w:pPr>
    </w:p>
    <w:p>
      <w:pPr>
        <w:ind w:left="145" w:right="100" w:hanging="145"/>
        <w:spacing w:after="0" w:line="355" w:lineRule="auto"/>
        <w:tabs>
          <w:tab w:leader="none" w:pos="141" w:val="left"/>
        </w:tabs>
        <w:numPr>
          <w:ilvl w:val="0"/>
          <w:numId w:val="8"/>
        </w:numPr>
        <w:rPr>
          <w:rFonts w:ascii="Arial" w:cs="Arial" w:eastAsia="Arial" w:hAnsi="Arial"/>
          <w:sz w:val="19"/>
          <w:szCs w:val="19"/>
          <w:color w:val="auto"/>
        </w:rPr>
      </w:pPr>
      <w:r>
        <w:rPr>
          <w:rFonts w:ascii="Times New Roman" w:cs="Times New Roman" w:eastAsia="Times New Roman" w:hAnsi="Times New Roman"/>
          <w:sz w:val="17"/>
          <w:szCs w:val="17"/>
          <w:color w:val="auto"/>
        </w:rPr>
        <w:t>Sprint Cancellations are expected to be $205 million for full year 2025. We believe 2025 will be the last year for Sprint Cancellations to fall outside our historical churn rates of 1% to 2% of annual site rental revenues.</w:t>
      </w:r>
    </w:p>
    <w:p>
      <w:pPr>
        <w:spacing w:after="0" w:line="14" w:lineRule="exact"/>
        <w:rPr>
          <w:rFonts w:ascii="Arial" w:cs="Arial" w:eastAsia="Arial" w:hAnsi="Arial"/>
          <w:sz w:val="19"/>
          <w:szCs w:val="19"/>
          <w:color w:val="auto"/>
        </w:rPr>
      </w:pPr>
    </w:p>
    <w:p>
      <w:pPr>
        <w:ind w:left="145" w:right="100" w:hanging="145"/>
        <w:spacing w:after="0" w:line="355" w:lineRule="auto"/>
        <w:tabs>
          <w:tab w:leader="none" w:pos="14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Full year 2025 straight-line site rental revenues are expected to be approximately $145 million to $175 million lower than full year 2024, reflecting the significant portion of our tower growth that is already contracted.</w:t>
      </w:r>
    </w:p>
    <w:p>
      <w:pPr>
        <w:spacing w:after="0" w:line="14" w:lineRule="exact"/>
        <w:rPr>
          <w:rFonts w:ascii="Times New Roman" w:cs="Times New Roman" w:eastAsia="Times New Roman" w:hAnsi="Times New Roman"/>
          <w:sz w:val="19"/>
          <w:szCs w:val="19"/>
          <w:color w:val="auto"/>
        </w:rPr>
      </w:pPr>
    </w:p>
    <w:p>
      <w:pPr>
        <w:ind w:left="145" w:right="100" w:hanging="145"/>
        <w:spacing w:after="0" w:line="356" w:lineRule="auto"/>
        <w:tabs>
          <w:tab w:leader="none" w:pos="141"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Prepaid rent amortization is expected to decrease by approximately $50 million to $80 million for full year 2025, primarily driven by declining prepaid rent additions received in recent years.</w:t>
      </w:r>
    </w:p>
    <w:p>
      <w:pPr>
        <w:ind w:left="145" w:right="100" w:hanging="145"/>
        <w:spacing w:after="0" w:line="365" w:lineRule="auto"/>
        <w:tabs>
          <w:tab w:leader="none" w:pos="1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below chart reconciles the core leasing amounts previously disclosed based upon the prior definition to the updated core leasing amounts per the new definition:</w:t>
      </w:r>
    </w:p>
    <w:p>
      <w:pPr>
        <w:spacing w:after="0" w:line="1" w:lineRule="exact"/>
        <w:rPr>
          <w:sz w:val="20"/>
          <w:szCs w:val="20"/>
          <w:color w:val="auto"/>
        </w:rPr>
      </w:pPr>
    </w:p>
    <w:tbl>
      <w:tblPr>
        <w:tblLayout w:type="fixed"/>
        <w:tblInd w:w="145" w:type="dxa"/>
        <w:tblCellMar>
          <w:top w:w="0" w:type="dxa"/>
          <w:left w:w="0" w:type="dxa"/>
          <w:bottom w:w="0" w:type="dxa"/>
          <w:right w:w="0" w:type="dxa"/>
        </w:tblCellMar>
      </w:tblPr>
      <w:tr>
        <w:trPr>
          <w:trHeight w:val="206"/>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Full Year 2024 Actual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Full Year 2025 Outlook</w:t>
            </w:r>
          </w:p>
        </w:tc>
        <w:tc>
          <w:tcPr>
            <w:tcW w:w="0" w:type="dxa"/>
            <w:vAlign w:val="bottom"/>
          </w:tcPr>
          <w:p>
            <w:pPr>
              <w:spacing w:after="0"/>
              <w:rPr>
                <w:sz w:val="1"/>
                <w:szCs w:val="1"/>
                <w:color w:val="auto"/>
              </w:rPr>
            </w:pPr>
          </w:p>
        </w:tc>
      </w:tr>
      <w:tr>
        <w:trPr>
          <w:trHeight w:val="208"/>
        </w:trPr>
        <w:tc>
          <w:tcPr>
            <w:tcW w:w="4220" w:type="dxa"/>
            <w:vAlign w:val="bottom"/>
            <w:tcBorders>
              <w:bottom w:val="single" w:sz="8" w:color="auto"/>
            </w:tcBorders>
            <w:gridSpan w:val="2"/>
            <w:vMerge w:val="continue"/>
          </w:tcPr>
          <w:p>
            <w:pPr>
              <w:spacing w:after="0"/>
              <w:rPr>
                <w:sz w:val="18"/>
                <w:szCs w:val="18"/>
                <w:color w:val="auto"/>
              </w:rPr>
            </w:pPr>
          </w:p>
        </w:tc>
        <w:tc>
          <w:tcPr>
            <w:tcW w:w="15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9"/>
              </w:rPr>
              <w:t>Consolidated</w:t>
            </w:r>
          </w:p>
        </w:tc>
        <w:tc>
          <w:tcPr>
            <w:tcW w:w="6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Towers</w:t>
            </w: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leasing – prior definition</w:t>
            </w:r>
          </w:p>
        </w:tc>
        <w:tc>
          <w:tcPr>
            <w:tcW w:w="1560" w:type="dxa"/>
            <w:vAlign w:val="bottom"/>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w w:val="93"/>
              </w:rPr>
              <w:t>$316</w:t>
            </w:r>
          </w:p>
        </w:tc>
        <w:tc>
          <w:tcPr>
            <w:tcW w:w="3060" w:type="dxa"/>
            <w:vAlign w:val="bottom"/>
            <w:gridSpan w:val="3"/>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$103</w:t>
            </w:r>
          </w:p>
        </w:tc>
        <w:tc>
          <w:tcPr>
            <w:tcW w:w="16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$110</w:t>
            </w:r>
          </w:p>
        </w:tc>
        <w:tc>
          <w:tcPr>
            <w:tcW w:w="0" w:type="dxa"/>
            <w:vAlign w:val="bottom"/>
          </w:tcPr>
          <w:p>
            <w:pPr>
              <w:spacing w:after="0"/>
              <w:rPr>
                <w:sz w:val="1"/>
                <w:szCs w:val="1"/>
                <w:color w:val="auto"/>
              </w:rPr>
            </w:pPr>
          </w:p>
        </w:tc>
      </w:tr>
      <w:tr>
        <w:trPr>
          <w:trHeight w:val="206"/>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from change in other billings</w:t>
            </w:r>
          </w:p>
        </w:tc>
        <w:tc>
          <w:tcPr>
            <w:tcW w:w="156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87"/>
              </w:rPr>
              <w:t>$7</w:t>
            </w:r>
          </w:p>
        </w:tc>
        <w:tc>
          <w:tcPr>
            <w:tcW w:w="3060" w:type="dxa"/>
            <w:vAlign w:val="bottom"/>
            <w:gridSpan w:val="3"/>
          </w:tcPr>
          <w:p>
            <w:pPr>
              <w:jc w:val="center"/>
              <w:ind w:left="741"/>
              <w:spacing w:after="0"/>
              <w:rPr>
                <w:sz w:val="20"/>
                <w:szCs w:val="20"/>
                <w:color w:val="auto"/>
              </w:rPr>
            </w:pPr>
            <w:r>
              <w:rPr>
                <w:rFonts w:ascii="Times New Roman" w:cs="Times New Roman" w:eastAsia="Times New Roman" w:hAnsi="Times New Roman"/>
                <w:sz w:val="16"/>
                <w:szCs w:val="16"/>
                <w:color w:val="auto"/>
                <w:w w:val="99"/>
              </w:rPr>
              <w:t>$4</w:t>
            </w:r>
          </w:p>
        </w:tc>
        <w:tc>
          <w:tcPr>
            <w:tcW w:w="1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2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from change in other revenues</w:t>
            </w:r>
          </w:p>
        </w:tc>
        <w:tc>
          <w:tcPr>
            <w:tcW w:w="156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7"/>
              </w:rPr>
              <w:t>($20)</w:t>
            </w:r>
          </w:p>
        </w:tc>
        <w:tc>
          <w:tcPr>
            <w:tcW w:w="3060" w:type="dxa"/>
            <w:vAlign w:val="bottom"/>
            <w:gridSpan w:val="3"/>
          </w:tcPr>
          <w:p>
            <w:pPr>
              <w:jc w:val="center"/>
              <w:ind w:left="741"/>
              <w:spacing w:after="0"/>
              <w:rPr>
                <w:sz w:val="20"/>
                <w:szCs w:val="20"/>
                <w:color w:val="auto"/>
              </w:rPr>
            </w:pPr>
            <w:r>
              <w:rPr>
                <w:rFonts w:ascii="Times New Roman" w:cs="Times New Roman" w:eastAsia="Times New Roman" w:hAnsi="Times New Roman"/>
                <w:sz w:val="16"/>
                <w:szCs w:val="16"/>
                <w:color w:val="auto"/>
                <w:w w:val="99"/>
              </w:rPr>
              <w:t>$3</w:t>
            </w:r>
          </w:p>
        </w:tc>
        <w:tc>
          <w:tcPr>
            <w:tcW w:w="16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23"/>
        </w:trPr>
        <w:tc>
          <w:tcPr>
            <w:tcW w:w="4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 leasing – new definition</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581"/>
              <w:spacing w:after="0"/>
              <w:rPr>
                <w:sz w:val="20"/>
                <w:szCs w:val="20"/>
                <w:color w:val="auto"/>
              </w:rPr>
            </w:pPr>
            <w:r>
              <w:rPr>
                <w:rFonts w:ascii="Times New Roman" w:cs="Times New Roman" w:eastAsia="Times New Roman" w:hAnsi="Times New Roman"/>
                <w:sz w:val="16"/>
                <w:szCs w:val="16"/>
                <w:color w:val="auto"/>
                <w:w w:val="93"/>
              </w:rPr>
              <w:t>$303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$110</w:t>
            </w: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$110</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145" w:right="100" w:hanging="145"/>
        <w:spacing w:after="0" w:line="389" w:lineRule="auto"/>
        <w:tabs>
          <w:tab w:leader="none" w:pos="1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year 2025 discretionary capital expenditures are expected to be $185 million, and prepaid rent additions are expected to be approximately $40 million. Full year 2025 discretionary capital expenditures from discontinued operations are expected to be $970 million, and prepaid rent additions from discontinued operations are expected to be approximately $350 million.</w:t>
      </w:r>
    </w:p>
    <w:p>
      <w:pPr>
        <w:spacing w:after="0" w:line="252"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345"/>
          </w:cols>
          <w:pgMar w:left="315" w:top="250" w:right="239" w:bottom="1440" w:gutter="0" w:footer="0" w:header="0"/>
        </w:sectPr>
      </w:pPr>
    </w:p>
    <w:bookmarkStart w:id="10" w:name="page11"/>
    <w:bookmarkEnd w:id="10"/>
    <w:p>
      <w:pPr>
        <w:ind w:left="240"/>
        <w:spacing w:after="0"/>
        <w:tabs>
          <w:tab w:leader="none" w:pos="106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Additional information is available in Crown Castle's quarterly Supplemental Information Package posted in the Investors section of our website.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CONFERENCE CALL DETAILS</w:t>
      </w:r>
    </w:p>
    <w:p>
      <w:pPr>
        <w:spacing w:after="0" w:line="114" w:lineRule="exact"/>
        <w:rPr>
          <w:sz w:val="20"/>
          <w:szCs w:val="20"/>
          <w:color w:val="auto"/>
        </w:rPr>
      </w:pPr>
    </w:p>
    <w:p>
      <w:pPr>
        <w:jc w:val="both"/>
        <w:ind w:firstLine="568"/>
        <w:spacing w:after="0" w:line="370" w:lineRule="auto"/>
        <w:rPr>
          <w:sz w:val="20"/>
          <w:szCs w:val="20"/>
          <w:color w:val="auto"/>
        </w:rPr>
      </w:pPr>
      <w:r>
        <w:rPr>
          <w:rFonts w:ascii="Times New Roman" w:cs="Times New Roman" w:eastAsia="Times New Roman" w:hAnsi="Times New Roman"/>
          <w:sz w:val="17"/>
          <w:szCs w:val="17"/>
          <w:color w:val="auto"/>
        </w:rPr>
        <w:t>Crown Castle has scheduled a conference call for Wednesday, March 13, 2025, at 5:00 p.m. Eastern time to discuss its full year 2024 results. A listen only live audio webcast of the conference call, along with supplemental materials for the call, can be accessed on the Crown Castle website at https://investor.crowncastle.com. Participants may join the conference call by dialing 833-816-1115 (Toll Free) or 412-317-0694 (International) at least 30 minutes prior to the start time. All dial-in participants should ask to join the Crown Castle call.</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 replay of the webcast will be available on the Investor page of Crown Castle's website until end of day, Thursday, March 13,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CROWN CASTLE</w:t>
      </w:r>
    </w:p>
    <w:p>
      <w:pPr>
        <w:spacing w:after="0" w:line="114" w:lineRule="exact"/>
        <w:rPr>
          <w:sz w:val="20"/>
          <w:szCs w:val="20"/>
          <w:color w:val="auto"/>
        </w:rPr>
      </w:pPr>
    </w:p>
    <w:p>
      <w:pPr>
        <w:jc w:val="both"/>
        <w:ind w:firstLine="568"/>
        <w:spacing w:after="0" w:line="380" w:lineRule="auto"/>
        <w:rPr>
          <w:sz w:val="20"/>
          <w:szCs w:val="20"/>
          <w:color w:val="auto"/>
        </w:rPr>
      </w:pPr>
      <w:r>
        <w:rPr>
          <w:rFonts w:ascii="Times New Roman" w:cs="Times New Roman" w:eastAsia="Times New Roman" w:hAnsi="Times New Roman"/>
          <w:sz w:val="17"/>
          <w:szCs w:val="17"/>
          <w:color w:val="auto"/>
        </w:rPr>
        <w:t xml:space="preserve">Crown Castle owns, operates and leases more than 40,000 cell towers and approximately 90,000 route miles of fiber supporting small cells and fiber solutions across every major U.S. market. This nationwide portfolio of communications infrastructure connects cities and communities to essential data, technology and wireless service - bringing information, ideas and innovations to the people and businesses that need them. For more information on Crown Castle, please visit </w:t>
      </w:r>
      <w:r>
        <w:rPr>
          <w:rFonts w:ascii="Times New Roman" w:cs="Times New Roman" w:eastAsia="Times New Roman" w:hAnsi="Times New Roman"/>
          <w:sz w:val="17"/>
          <w:szCs w:val="17"/>
          <w:u w:val="single" w:color="auto"/>
          <w:color w:val="0000FF"/>
        </w:rPr>
        <w:t>www.crowncastle.com</w:t>
      </w:r>
      <w:r>
        <w:rPr>
          <w:rFonts w:ascii="Times New Roman" w:cs="Times New Roman" w:eastAsia="Times New Roman" w:hAnsi="Times New Roman"/>
          <w:sz w:val="17"/>
          <w:szCs w:val="17"/>
          <w:color w:val="auto"/>
        </w:rPr>
        <w:t>.</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11" w:name="page12"/>
    <w:bookmarkEnd w:id="11"/>
    <w:p>
      <w:pPr>
        <w:ind w:left="240"/>
        <w:spacing w:after="0"/>
        <w:tabs>
          <w:tab w:leader="none" w:pos="106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Non-GAAP Measures and Other Information</w:t>
      </w:r>
    </w:p>
    <w:p>
      <w:pPr>
        <w:spacing w:after="0" w:line="14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This press release includes presentations of Adjusted EBITDA, Adjusted Funds from Operations ("AFFO"), including per share amounts, Funds from Operations ("FFO"), including per share amounts, Organic Contribution to Site Rental Billings, including as Adjusted for Impact of Sprint Cancellations, Segment Adjusted Site Rental Gross Margin, Segment Adjusted Services and Other Gross Margin, and Net Debt, which are non-GAAP financial measures. These non-GAAP financial measures are not intended as alternative measures of operating results or cash flow from operations (as determined in accordance with Generally Accepted Accounting Principles ("GAAP")).</w:t>
      </w:r>
    </w:p>
    <w:p>
      <w:pPr>
        <w:spacing w:after="0" w:line="11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non-GAAP financial measures may not be comparable to similarly titled measures of other companies, including other companies in the communications infrastructure sector or other real estate investment trusts ("REITs").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to the non-GAAP financial measures used herein, we also provide segment operating profit (loss), which is a key measure used by management to evaluate our operating segments. This segment measure is provided pursuant to GAAP requirements related to segment reporting. In addition, we provide the components of certain GAAP measures, such as site rental revenues and capital expenditures.</w:t>
      </w:r>
    </w:p>
    <w:p>
      <w:pPr>
        <w:spacing w:after="0" w:line="109"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Our non-GAAP financial measures are presented as additional information because management believes these measures are useful indicators of the financial performance of our business. Among other things, management believes that:</w:t>
      </w:r>
    </w:p>
    <w:p>
      <w:pPr>
        <w:spacing w:after="0" w:line="50" w:lineRule="exact"/>
        <w:rPr>
          <w:sz w:val="20"/>
          <w:szCs w:val="20"/>
          <w:color w:val="auto"/>
        </w:rPr>
      </w:pPr>
    </w:p>
    <w:p>
      <w:pPr>
        <w:jc w:val="both"/>
        <w:ind w:left="560" w:hanging="282"/>
        <w:spacing w:after="0" w:line="250" w:lineRule="auto"/>
        <w:tabs>
          <w:tab w:leader="none" w:pos="5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useful to investors or other interested parties in evaluating our financial performance. Adjusted EBITDA is the primary measure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communications infrastructure sector and other REITs to measure financial performance without regard to items such as depreciation, amortization and accretion, which can vary depending upon accounting methods and the book value of assets. In addition, Adjusted EBITDA is similar to the measure of current financial performance generally used in our debt covenant calculations. Adjusted EBITDA should be considered only as a supplement to net income (loss) computed in accordance with GAAP as a measure of our performance.</w:t>
      </w:r>
    </w:p>
    <w:p>
      <w:pPr>
        <w:spacing w:after="0" w:line="72" w:lineRule="exact"/>
        <w:rPr>
          <w:rFonts w:ascii="Times New Roman" w:cs="Times New Roman" w:eastAsia="Times New Roman" w:hAnsi="Times New Roman"/>
          <w:sz w:val="16"/>
          <w:szCs w:val="16"/>
          <w:color w:val="auto"/>
        </w:rPr>
      </w:pPr>
    </w:p>
    <w:p>
      <w:pPr>
        <w:jc w:val="both"/>
        <w:ind w:left="560" w:right="20" w:hanging="282"/>
        <w:spacing w:after="0" w:line="250" w:lineRule="auto"/>
        <w:tabs>
          <w:tab w:leader="none" w:pos="5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revenues or expenses are recognized on a straight-lined basis over the fixed, non-cancelable term of the contract.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w:t>
      </w:r>
    </w:p>
    <w:p>
      <w:pPr>
        <w:spacing w:after="0" w:line="72" w:lineRule="exact"/>
        <w:rPr>
          <w:rFonts w:ascii="Times New Roman" w:cs="Times New Roman" w:eastAsia="Times New Roman" w:hAnsi="Times New Roman"/>
          <w:sz w:val="16"/>
          <w:szCs w:val="16"/>
          <w:color w:val="auto"/>
        </w:rPr>
      </w:pPr>
    </w:p>
    <w:p>
      <w:pPr>
        <w:jc w:val="both"/>
        <w:ind w:left="560" w:hanging="282"/>
        <w:spacing w:after="0" w:line="254" w:lineRule="auto"/>
        <w:tabs>
          <w:tab w:leader="none" w:pos="556"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12" w:name="page13"/>
    <w:bookmarkEnd w:id="12"/>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560" w:hanging="282"/>
        <w:spacing w:after="0" w:line="251" w:lineRule="auto"/>
        <w:tabs>
          <w:tab w:leader="none" w:pos="55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Impact of Sprint Cancellations (including by line of business), which is outside of ordinary course, to provide further insight into our results of operations and underlying trends. Management believes that identifying the impact for Sprint Cancellations provides increased transparency and comparability across periods. Organic Contribution to Site Rental Billings (including as Adjusted for Impact of Sprint Cancellations) is not meant as an alternative measure of revenue and should be considered only as a supplement in understanding and assessing the performance of our site rental revenues computed in accordance with GAAP.</w:t>
      </w:r>
    </w:p>
    <w:p>
      <w:pPr>
        <w:spacing w:after="0" w:line="69" w:lineRule="exact"/>
        <w:rPr>
          <w:rFonts w:ascii="Times New Roman" w:cs="Times New Roman" w:eastAsia="Times New Roman" w:hAnsi="Times New Roman"/>
          <w:sz w:val="16"/>
          <w:szCs w:val="16"/>
          <w:color w:val="auto"/>
        </w:rPr>
      </w:pPr>
    </w:p>
    <w:p>
      <w:pPr>
        <w:jc w:val="both"/>
        <w:ind w:left="560" w:hanging="282"/>
        <w:spacing w:after="0" w:line="279" w:lineRule="auto"/>
        <w:tabs>
          <w:tab w:leader="none" w:pos="55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Segment Adjusted Site Rental Gross Margin and Segment Adjusted Services and Other Gross Margin are useful to investors or other interested parties in evaluating our financial performance. These measures are used by our management (1) to evaluate the economic productivity of our operating segments, (2) to identify underlying business trends that are impacting our performance, and (3) for purposes of making decisions about allocating resources to, and assessing the performance of, our operating segments. We also believe it helps investors and other interested parties meaningfully evaluate and compare the results of our operations from period to period.</w:t>
      </w:r>
    </w:p>
    <w:p>
      <w:pPr>
        <w:spacing w:after="0" w:line="49" w:lineRule="exact"/>
        <w:rPr>
          <w:rFonts w:ascii="Times New Roman" w:cs="Times New Roman" w:eastAsia="Times New Roman" w:hAnsi="Times New Roman"/>
          <w:sz w:val="13"/>
          <w:szCs w:val="13"/>
          <w:color w:val="auto"/>
        </w:rPr>
      </w:pPr>
    </w:p>
    <w:p>
      <w:pPr>
        <w:ind w:left="560" w:right="20" w:hanging="282"/>
        <w:spacing w:after="0" w:line="276" w:lineRule="auto"/>
        <w:tabs>
          <w:tab w:leader="none" w:pos="556"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Non-GAAP Financial Measures</w:t>
      </w:r>
    </w:p>
    <w:p>
      <w:pPr>
        <w:spacing w:after="0" w:line="1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Adjusted EBITDA. </w:t>
      </w:r>
      <w:r>
        <w:rPr>
          <w:rFonts w:ascii="Times New Roman" w:cs="Times New Roman" w:eastAsia="Times New Roman" w:hAnsi="Times New Roman"/>
          <w:sz w:val="16"/>
          <w:szCs w:val="16"/>
          <w:color w:val="auto"/>
        </w:rPr>
        <w:t>We define Adjusted EBITDA as net income (loss) plus restructuring charges (credits), asset write-down charges, goodwill impairment charges, acquisition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and stock-based compensation expense, net.</w:t>
      </w:r>
    </w:p>
    <w:p>
      <w:pPr>
        <w:spacing w:after="0" w:line="6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AFFO. </w:t>
      </w:r>
      <w:r>
        <w:rPr>
          <w:rFonts w:ascii="Times New Roman" w:cs="Times New Roman" w:eastAsia="Times New Roman" w:hAnsi="Times New Roman"/>
          <w:sz w:val="16"/>
          <w:szCs w:val="16"/>
          <w:color w:val="auto"/>
        </w:rPr>
        <w:t>We define AFFO as FFO before straight-lined revenues, straight-lined expenses, stock-based compensation expense, net, non-cash portion of tax provision, non-real estate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AFFO per share. </w:t>
      </w:r>
      <w:r>
        <w:rPr>
          <w:rFonts w:ascii="Times New Roman" w:cs="Times New Roman" w:eastAsia="Times New Roman" w:hAnsi="Times New Roman"/>
          <w:sz w:val="16"/>
          <w:szCs w:val="16"/>
          <w:color w:val="auto"/>
        </w:rPr>
        <w:t>We define AFFO per share as AFFO divided by diluted weighted-average common shares outstanding.</w:t>
      </w:r>
    </w:p>
    <w:p>
      <w:pPr>
        <w:spacing w:after="0" w:line="10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FFO. </w:t>
      </w:r>
      <w:r>
        <w:rPr>
          <w:rFonts w:ascii="Times New Roman" w:cs="Times New Roman" w:eastAsia="Times New Roman" w:hAnsi="Times New Roman"/>
          <w:sz w:val="16"/>
          <w:szCs w:val="16"/>
          <w:color w:val="auto"/>
        </w:rPr>
        <w:t>We define FFO as net income (loss) plus real estate related depreciation, amortization and accretion, asset write-down charges, goodwill impairment charges, and net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loss from discontinued operations, less noncontrolling interest and cash paid for preferred stock dividends (in periods where applicable), and is a measure of funds from operations attributable to common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FFO per share. </w:t>
      </w:r>
      <w:r>
        <w:rPr>
          <w:rFonts w:ascii="Times New Roman" w:cs="Times New Roman" w:eastAsia="Times New Roman" w:hAnsi="Times New Roman"/>
          <w:sz w:val="16"/>
          <w:szCs w:val="16"/>
          <w:color w:val="auto"/>
        </w:rPr>
        <w:t>We define FFO per share as FFO divided by diluted weighted-average common shares outstanding.</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Organic Contribution to Site Rental Billings. </w:t>
      </w:r>
      <w:r>
        <w:rPr>
          <w:rFonts w:ascii="Times New Roman" w:cs="Times New Roman" w:eastAsia="Times New Roman" w:hAnsi="Times New Roman"/>
          <w:sz w:val="16"/>
          <w:szCs w:val="16"/>
          <w:color w:val="auto"/>
        </w:rPr>
        <w:t>We define Organic Contribution to Site Rental Billings (also referred to as organic growth) as the sum of the change in site rental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revenues related to core leasing activity, escalators and other billings, less non-renewals of tenant contracts and non-renewals associated with Sprint Cancellations. Additionally, Organic Contribution to Site Rental Billings as Adjusted for Impact of Sprint Cancellations reflects Organic Contribution to Site Rental Billings plus non-renewals associated with Sprint Cancellations (including by line of business).</w:t>
      </w:r>
    </w:p>
    <w:p>
      <w:pPr>
        <w:spacing w:after="0" w:line="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Segment Adjusted Site Rental Gross Margin. </w:t>
      </w:r>
      <w:r>
        <w:rPr>
          <w:rFonts w:ascii="Times New Roman" w:cs="Times New Roman" w:eastAsia="Times New Roman" w:hAnsi="Times New Roman"/>
          <w:sz w:val="16"/>
          <w:szCs w:val="16"/>
          <w:color w:val="auto"/>
        </w:rPr>
        <w:t>We define Segment Adjusted Site Rental Gross Margin as segment site rental revenues less segment site rental costs of operations,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excluding stock-based compensation expense, net and amortization of prepaid lease purchase price adjustments recorded in consolidated site rental costs of operations. This segment measure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13" w:name="page14"/>
    <w:bookmarkEnd w:id="13"/>
    <w:p>
      <w:pPr>
        <w:ind w:left="245"/>
        <w:spacing w:after="0"/>
        <w:tabs>
          <w:tab w:leader="none" w:pos="1054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5" w:right="20"/>
        <w:spacing w:after="0" w:line="257" w:lineRule="auto"/>
        <w:rPr>
          <w:sz w:val="20"/>
          <w:szCs w:val="20"/>
          <w:color w:val="auto"/>
        </w:rPr>
      </w:pPr>
      <w:r>
        <w:rPr>
          <w:rFonts w:ascii="Times New Roman" w:cs="Times New Roman" w:eastAsia="Times New Roman" w:hAnsi="Times New Roman"/>
          <w:sz w:val="16"/>
          <w:szCs w:val="16"/>
          <w:i w:val="1"/>
          <w:iCs w:val="1"/>
          <w:color w:val="auto"/>
        </w:rPr>
        <w:t>Segment Adjusted Services and Other Gross Margin</w:t>
      </w:r>
      <w:r>
        <w:rPr>
          <w:rFonts w:ascii="Times New Roman" w:cs="Times New Roman" w:eastAsia="Times New Roman" w:hAnsi="Times New Roman"/>
          <w:sz w:val="16"/>
          <w:szCs w:val="16"/>
          <w:color w:val="auto"/>
        </w:rPr>
        <w:t>. We define Segment Adjusted Services and Other Gross Margin as segment services and other revenues less segment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other costs of operations, excluding stock-based compensation expense, net recorded in consolidated services and other costs of operations. This segment measure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63"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Net Debt. </w:t>
      </w:r>
      <w:r>
        <w:rPr>
          <w:rFonts w:ascii="Times New Roman" w:cs="Times New Roman" w:eastAsia="Times New Roman" w:hAnsi="Times New Roman"/>
          <w:sz w:val="16"/>
          <w:szCs w:val="16"/>
          <w:color w:val="auto"/>
        </w:rPr>
        <w:t>We define Net Debt as (1) debt and other long-term obligations and (2) current maturities of debt and other obligations, excluding unamortized adjustments, net; 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and cash equivalents and restricted cash and cash equivalents.</w:t>
      </w:r>
    </w:p>
    <w:p>
      <w:pPr>
        <w:spacing w:after="0" w:line="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u w:val="single" w:color="auto"/>
          <w:color w:val="auto"/>
        </w:rPr>
        <w:t>Other Definitions</w:t>
      </w:r>
    </w:p>
    <w:p>
      <w:pPr>
        <w:spacing w:after="0" w:line="100" w:lineRule="exact"/>
        <w:rPr>
          <w:sz w:val="20"/>
          <w:szCs w:val="20"/>
          <w:color w:val="auto"/>
        </w:rPr>
      </w:pPr>
    </w:p>
    <w:p>
      <w:pPr>
        <w:jc w:val="both"/>
        <w:ind w:left="5"/>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Segment operating profit (loss). </w:t>
      </w:r>
      <w:r>
        <w:rPr>
          <w:rFonts w:ascii="Times New Roman" w:cs="Times New Roman" w:eastAsia="Times New Roman" w:hAnsi="Times New Roman"/>
          <w:sz w:val="16"/>
          <w:szCs w:val="16"/>
          <w:color w:val="auto"/>
        </w:rPr>
        <w:t>We define segment operating profit (loss) as segment site rental revenues plus segment services and other revenues, less segment site rental costs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operations, segment services and other costs of operations, and segment selling, general and administrative expenses, each of which excludes stock-based compensation, net, and prepaid lease purchase price adjustments, which are recorded in the respective consolidated figures. This measurement of profit or loss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67" w:lineRule="exact"/>
        <w:rPr>
          <w:sz w:val="20"/>
          <w:szCs w:val="20"/>
          <w:color w:val="auto"/>
        </w:rPr>
      </w:pPr>
    </w:p>
    <w:p>
      <w:pPr>
        <w:jc w:val="both"/>
        <w:ind w:left="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Site rental billings. </w:t>
      </w:r>
      <w:r>
        <w:rPr>
          <w:rFonts w:ascii="Times New Roman" w:cs="Times New Roman" w:eastAsia="Times New Roman" w:hAnsi="Times New Roman"/>
          <w:sz w:val="16"/>
          <w:szCs w:val="16"/>
          <w:color w:val="auto"/>
        </w:rPr>
        <w:t>We define site rental billings as site rental revenues exclusive of the impacts from (1) straight-lined revenues, (2) amortization of prepaid rent in accordance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GAAP, (3) contribution from recent acquisitions until the one-year anniversary of such acquisitions and (4) other revenues, such as tenant cancellation fees, pass-through taxes, finance charges and other items.</w:t>
      </w:r>
    </w:p>
    <w:p>
      <w:pPr>
        <w:spacing w:after="0" w:line="60" w:lineRule="exact"/>
        <w:rPr>
          <w:sz w:val="20"/>
          <w:szCs w:val="20"/>
          <w:color w:val="auto"/>
        </w:rPr>
      </w:pPr>
    </w:p>
    <w:p>
      <w:pPr>
        <w:jc w:val="both"/>
        <w:ind w:left="5" w:right="20"/>
        <w:spacing w:after="0" w:line="262" w:lineRule="auto"/>
        <w:rPr>
          <w:sz w:val="20"/>
          <w:szCs w:val="20"/>
          <w:color w:val="auto"/>
        </w:rPr>
      </w:pPr>
      <w:r>
        <w:rPr>
          <w:rFonts w:ascii="Times New Roman" w:cs="Times New Roman" w:eastAsia="Times New Roman" w:hAnsi="Times New Roman"/>
          <w:sz w:val="16"/>
          <w:szCs w:val="16"/>
          <w:i w:val="1"/>
          <w:iCs w:val="1"/>
          <w:color w:val="auto"/>
        </w:rPr>
        <w:t>Core leasing activity</w:t>
      </w:r>
      <w:r>
        <w:rPr>
          <w:rFonts w:ascii="Times New Roman" w:cs="Times New Roman" w:eastAsia="Times New Roman" w:hAnsi="Times New Roman"/>
          <w:sz w:val="16"/>
          <w:szCs w:val="16"/>
          <w:color w:val="auto"/>
        </w:rPr>
        <w:t>. We define core leasing activity as site rental revenues growth from tenant additions across our entire portfolio and renewals or extensions of tenant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contracts, exclusive of (1) the impacts from both straight-lined revenues and amortization of prepaid rent in accordance with GAAP and (2) other revenues, including payments for Sprint Cancellations, where applicable.</w:t>
      </w:r>
    </w:p>
    <w:p>
      <w:pPr>
        <w:spacing w:after="0" w:line="60"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i w:val="1"/>
          <w:iCs w:val="1"/>
          <w:color w:val="auto"/>
        </w:rPr>
        <w:t>Other billings</w:t>
      </w:r>
      <w:r>
        <w:rPr>
          <w:rFonts w:ascii="Times New Roman" w:cs="Times New Roman" w:eastAsia="Times New Roman" w:hAnsi="Times New Roman"/>
          <w:sz w:val="16"/>
          <w:szCs w:val="16"/>
          <w:color w:val="auto"/>
        </w:rPr>
        <w:t>. We define other billings as the growth or reduction in site rental revenues as a result of non-recurring contractual billings and adjustments, expense recoveries,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credits and other amounts not captured in core leasing activity.</w:t>
      </w:r>
    </w:p>
    <w:p>
      <w:pPr>
        <w:spacing w:after="0" w:line="47"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6"/>
          <w:szCs w:val="16"/>
          <w:i w:val="1"/>
          <w:iCs w:val="1"/>
          <w:color w:val="auto"/>
        </w:rPr>
        <w:t>Non-renewals</w:t>
      </w:r>
      <w:r>
        <w:rPr>
          <w:rFonts w:ascii="Times New Roman" w:cs="Times New Roman" w:eastAsia="Times New Roman" w:hAnsi="Times New Roman"/>
          <w:sz w:val="16"/>
          <w:szCs w:val="16"/>
          <w:color w:val="auto"/>
        </w:rPr>
        <w:t>. We define non-renewals of tenant contracts as the reduction in site rental revenues as a result of tenant churn, terminations and, in limited circumstances,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reductions of existing lease rates, exclusive of non-renewals associated with Sprint Cancellations, where applicable.</w:t>
      </w:r>
    </w:p>
    <w:p>
      <w:pPr>
        <w:spacing w:after="0" w:line="47" w:lineRule="exact"/>
        <w:rPr>
          <w:sz w:val="20"/>
          <w:szCs w:val="20"/>
          <w:color w:val="auto"/>
        </w:rPr>
      </w:pPr>
    </w:p>
    <w:p>
      <w:pPr>
        <w:jc w:val="both"/>
        <w:ind w:left="5"/>
        <w:spacing w:after="0" w:line="276" w:lineRule="auto"/>
        <w:rPr>
          <w:sz w:val="20"/>
          <w:szCs w:val="20"/>
          <w:color w:val="auto"/>
        </w:rPr>
      </w:pPr>
      <w:r>
        <w:rPr>
          <w:rFonts w:ascii="Times New Roman" w:cs="Times New Roman" w:eastAsia="Times New Roman" w:hAnsi="Times New Roman"/>
          <w:sz w:val="15"/>
          <w:szCs w:val="15"/>
          <w:i w:val="1"/>
          <w:iCs w:val="1"/>
          <w:color w:val="auto"/>
        </w:rPr>
        <w:t xml:space="preserve">Discretionary capital expenditures. </w:t>
      </w:r>
      <w:r>
        <w:rPr>
          <w:rFonts w:ascii="Times New Roman" w:cs="Times New Roman" w:eastAsia="Times New Roman" w:hAnsi="Times New Roman"/>
          <w:sz w:val="15"/>
          <w:szCs w:val="15"/>
          <w:color w:val="auto"/>
        </w:rPr>
        <w:t>We define discretionary capital expenditures as those capital expenditures made with respect to activities which we believe exhibit sufficient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potential to enhance long-term stockholder value. They primarily consist of expansion or development of communications infrastructure (including capital expenditures related to</w:t>
      </w:r>
    </w:p>
    <w:p>
      <w:pPr>
        <w:spacing w:after="0" w:line="1" w:lineRule="exact"/>
        <w:rPr>
          <w:sz w:val="20"/>
          <w:szCs w:val="20"/>
          <w:color w:val="auto"/>
        </w:rPr>
      </w:pPr>
    </w:p>
    <w:p>
      <w:pPr>
        <w:jc w:val="both"/>
        <w:ind w:left="5" w:hanging="5"/>
        <w:spacing w:after="0" w:line="249"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spacing w:after="0" w:line="6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i w:val="1"/>
          <w:iCs w:val="1"/>
          <w:color w:val="auto"/>
        </w:rPr>
        <w:t xml:space="preserve">Sustaining capital expenditures. </w:t>
      </w:r>
      <w:r>
        <w:rPr>
          <w:rFonts w:ascii="Times New Roman" w:cs="Times New Roman" w:eastAsia="Times New Roman" w:hAnsi="Times New Roman"/>
          <w:sz w:val="16"/>
          <w:szCs w:val="16"/>
          <w:color w:val="auto"/>
        </w:rPr>
        <w:t>We define sustaining capital expenditures as those capital expenditures not otherwise categorized as discretionary capital expenditures, such as</w:t>
      </w:r>
    </w:p>
    <w:p>
      <w:pPr>
        <w:spacing w:after="0" w:line="24" w:lineRule="exact"/>
        <w:rPr>
          <w:sz w:val="20"/>
          <w:szCs w:val="20"/>
          <w:color w:val="auto"/>
        </w:rPr>
      </w:pPr>
    </w:p>
    <w:p>
      <w:pPr>
        <w:ind w:left="5" w:hanging="5"/>
        <w:spacing w:after="0" w:line="253" w:lineRule="auto"/>
        <w:tabs>
          <w:tab w:leader="none" w:pos="23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maintenance capital expenditures on our communications infrastructure assets that enable our tenants' ongoing quiet enjoyment of the communications infrastructure and (2) ordinary corporate capital expenditures.</w:t>
      </w:r>
    </w:p>
    <w:p>
      <w:pPr>
        <w:spacing w:after="0" w:line="66" w:lineRule="exact"/>
        <w:rPr>
          <w:sz w:val="20"/>
          <w:szCs w:val="20"/>
          <w:color w:val="auto"/>
        </w:rPr>
      </w:pPr>
    </w:p>
    <w:p>
      <w:pPr>
        <w:ind w:left="5"/>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Sprint Cancellations. </w:t>
      </w:r>
      <w:r>
        <w:rPr>
          <w:rFonts w:ascii="Times New Roman" w:cs="Times New Roman" w:eastAsia="Times New Roman" w:hAnsi="Times New Roman"/>
          <w:sz w:val="16"/>
          <w:szCs w:val="16"/>
          <w:color w:val="auto"/>
        </w:rPr>
        <w:t>We define Sprint Cancellations as lease cancellations related to the previously disclosed T-Mobile US, Inc. and Sprint network consolidation as described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press release dated April 19, 2023.</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14" w:name="page15"/>
    <w:bookmarkEnd w:id="14"/>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Historical Adjusted EBITDA:</w:t>
      </w:r>
    </w:p>
    <w:p>
      <w:pPr>
        <w:spacing w:after="0" w:line="189" w:lineRule="exact"/>
        <w:rPr>
          <w:sz w:val="20"/>
          <w:szCs w:val="20"/>
          <w:color w:val="auto"/>
        </w:rPr>
      </w:pPr>
    </w:p>
    <w:tbl>
      <w:tblPr>
        <w:tblLayout w:type="fixed"/>
        <w:tblInd w:w="85"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00" w:type="dxa"/>
            <w:vAlign w:val="bottom"/>
          </w:tcPr>
          <w:p>
            <w:pPr>
              <w:spacing w:after="0"/>
              <w:rPr>
                <w:sz w:val="16"/>
                <w:szCs w:val="16"/>
                <w:color w:val="auto"/>
              </w:rPr>
            </w:pPr>
          </w:p>
        </w:tc>
        <w:tc>
          <w:tcPr>
            <w:tcW w:w="266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color w:val="auto"/>
              </w:rPr>
              <w:t>For the Twelve Months Ended</w:t>
            </w:r>
          </w:p>
        </w:tc>
      </w:tr>
      <w:tr>
        <w:trPr>
          <w:trHeight w:val="182"/>
        </w:trPr>
        <w:tc>
          <w:tcPr>
            <w:tcW w:w="5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December 31, 2023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9"/>
              </w:rPr>
              <w:t>December 31, 2023</w:t>
            </w:r>
          </w:p>
        </w:tc>
      </w:tr>
      <w:tr>
        <w:trPr>
          <w:trHeight w:val="181"/>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189"/>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increase (decrease) net income (loss):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write-down charges</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8"/>
        </w:trPr>
        <w:tc>
          <w:tcPr>
            <w:tcW w:w="5500" w:type="dxa"/>
            <w:vAlign w:val="bottom"/>
          </w:tcPr>
          <w:p>
            <w:pPr>
              <w:ind w:left="140"/>
              <w:spacing w:after="0" w:line="198"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5"/>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198"/>
        </w:trPr>
        <w:tc>
          <w:tcPr>
            <w:tcW w:w="5500" w:type="dxa"/>
            <w:vAlign w:val="bottom"/>
          </w:tcPr>
          <w:p>
            <w:pPr>
              <w:ind w:left="140"/>
              <w:spacing w:after="0" w:line="198"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(b)</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prepaid lease purchase price adjustments</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8"/>
        </w:trPr>
        <w:tc>
          <w:tcPr>
            <w:tcW w:w="5500" w:type="dxa"/>
            <w:vAlign w:val="bottom"/>
          </w:tcPr>
          <w:p>
            <w:pPr>
              <w:ind w:left="140"/>
              <w:spacing w:after="0" w:line="198" w:lineRule="exact"/>
              <w:rPr>
                <w:sz w:val="20"/>
                <w:szCs w:val="20"/>
                <w:color w:val="auto"/>
              </w:rPr>
            </w:pPr>
            <w:r>
              <w:rPr>
                <w:rFonts w:ascii="Times New Roman" w:cs="Times New Roman" w:eastAsia="Times New Roman" w:hAnsi="Times New Roman"/>
                <w:sz w:val="14"/>
                <w:szCs w:val="14"/>
                <w:color w:val="auto"/>
              </w:rPr>
              <w:t>Interest expense and amortization of deferred financing costs, net</w:t>
            </w:r>
            <w:r>
              <w:rPr>
                <w:rFonts w:ascii="Times New Roman" w:cs="Times New Roman" w:eastAsia="Times New Roman" w:hAnsi="Times New Roman"/>
                <w:sz w:val="18"/>
                <w:szCs w:val="18"/>
                <w:color w:val="auto"/>
                <w:vertAlign w:val="superscript"/>
              </w:rPr>
              <w:t>(c)</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84"/>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2"/>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4"/>
        </w:trPr>
        <w:tc>
          <w:tcPr>
            <w:tcW w:w="5500" w:type="dxa"/>
            <w:vAlign w:val="bottom"/>
          </w:tcPr>
          <w:p>
            <w:pPr>
              <w:ind w:left="300"/>
              <w:spacing w:after="0" w:line="184"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8"/>
                <w:szCs w:val="18"/>
                <w:b w:val="1"/>
                <w:bCs w:val="1"/>
                <w:color w:val="auto"/>
                <w:vertAlign w:val="superscript"/>
              </w:rPr>
              <w:t>(d)(e)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1,044</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4,161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4,415</w:t>
            </w:r>
          </w:p>
        </w:tc>
      </w:tr>
      <w:tr>
        <w:trPr>
          <w:trHeight w:val="20"/>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Current Outlook for Adjusted EBITDA:</w:t>
      </w:r>
    </w:p>
    <w:p>
      <w:pPr>
        <w:spacing w:after="0" w:line="47"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9160" w:type="dxa"/>
            <w:vAlign w:val="bottom"/>
          </w:tcPr>
          <w:p>
            <w:pPr>
              <w:spacing w:after="0"/>
              <w:rPr>
                <w:sz w:val="16"/>
                <w:szCs w:val="16"/>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Full Year 2025</w:t>
            </w:r>
          </w:p>
        </w:tc>
      </w:tr>
      <w:tr>
        <w:trPr>
          <w:trHeight w:val="195"/>
        </w:trPr>
        <w:tc>
          <w:tcPr>
            <w:tcW w:w="9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2080" w:type="dxa"/>
            <w:vAlign w:val="bottom"/>
            <w:tcBorders>
              <w:bottom w:val="single" w:sz="8" w:color="auto"/>
            </w:tcBorders>
            <w:gridSpan w:val="3"/>
          </w:tcPr>
          <w:p>
            <w:pPr>
              <w:jc w:val="center"/>
              <w:spacing w:after="0" w:line="195" w:lineRule="exact"/>
              <w:rPr>
                <w:sz w:val="20"/>
                <w:szCs w:val="20"/>
                <w:color w:val="auto"/>
              </w:rPr>
            </w:pPr>
            <w:r>
              <w:rPr>
                <w:rFonts w:ascii="Times New Roman" w:cs="Times New Roman" w:eastAsia="Times New Roman" w:hAnsi="Times New Roman"/>
                <w:sz w:val="14"/>
                <w:szCs w:val="14"/>
                <w:color w:val="auto"/>
                <w:w w:val="94"/>
              </w:rPr>
              <w:t>Outlook</w:t>
            </w:r>
            <w:r>
              <w:rPr>
                <w:rFonts w:ascii="Times New Roman" w:cs="Times New Roman" w:eastAsia="Times New Roman" w:hAnsi="Times New Roman"/>
                <w:sz w:val="18"/>
                <w:szCs w:val="18"/>
                <w:color w:val="auto"/>
                <w:w w:val="94"/>
                <w:vertAlign w:val="superscript"/>
              </w:rPr>
              <w:t>(i)</w:t>
            </w:r>
          </w:p>
        </w:tc>
      </w:tr>
      <w:tr>
        <w:trPr>
          <w:trHeight w:val="181"/>
        </w:trPr>
        <w:tc>
          <w:tcPr>
            <w:tcW w:w="91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8"/>
                <w:szCs w:val="18"/>
                <w:color w:val="auto"/>
                <w:vertAlign w:val="superscript"/>
              </w:rPr>
              <w:t>(f)</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$345</w:t>
            </w:r>
          </w:p>
        </w:tc>
      </w:tr>
      <w:tr>
        <w:trPr>
          <w:trHeight w:val="184"/>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increase (decrease) net income (loss):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write-down charges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$773</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prepaid lease purchase price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$16</w:t>
            </w:r>
          </w:p>
        </w:tc>
      </w:tr>
      <w:tr>
        <w:trPr>
          <w:trHeight w:val="194"/>
        </w:trPr>
        <w:tc>
          <w:tcPr>
            <w:tcW w:w="9160" w:type="dxa"/>
            <w:vAlign w:val="bottom"/>
          </w:tcPr>
          <w:p>
            <w:pPr>
              <w:ind w:left="140"/>
              <w:spacing w:after="0" w:line="194" w:lineRule="exact"/>
              <w:rPr>
                <w:sz w:val="20"/>
                <w:szCs w:val="20"/>
                <w:color w:val="auto"/>
              </w:rPr>
            </w:pPr>
            <w:r>
              <w:rPr>
                <w:rFonts w:ascii="Times New Roman" w:cs="Times New Roman" w:eastAsia="Times New Roman" w:hAnsi="Times New Roman"/>
                <w:sz w:val="14"/>
                <w:szCs w:val="14"/>
                <w:color w:val="auto"/>
              </w:rPr>
              <w:t>Interest expense and amortization of deferred financing costs, net</w:t>
            </w:r>
            <w:r>
              <w:rPr>
                <w:rFonts w:ascii="Times New Roman" w:cs="Times New Roman" w:eastAsia="Times New Roman" w:hAnsi="Times New Roman"/>
                <w:sz w:val="18"/>
                <w:szCs w:val="18"/>
                <w:color w:val="auto"/>
                <w:vertAlign w:val="superscript"/>
              </w:rPr>
              <w:t>(g)</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$1,027</w:t>
            </w:r>
          </w:p>
        </w:tc>
      </w:tr>
      <w:tr>
        <w:trPr>
          <w:trHeight w:val="184"/>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losses on retirement of long-term obligations</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w:t>
            </w:r>
          </w:p>
        </w:tc>
      </w:tr>
      <w:tr>
        <w:trPr>
          <w:trHeight w:val="1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$97</w:t>
            </w:r>
          </w:p>
        </w:tc>
      </w:tr>
      <w:tr>
        <w:trPr>
          <w:trHeight w:val="289"/>
        </w:trPr>
        <w:tc>
          <w:tcPr>
            <w:tcW w:w="9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from discontinued operations</w:t>
            </w:r>
            <w:r>
              <w:rPr>
                <w:rFonts w:ascii="Times New Roman" w:cs="Times New Roman" w:eastAsia="Times New Roman" w:hAnsi="Times New Roman"/>
                <w:sz w:val="18"/>
                <w:szCs w:val="18"/>
                <w:color w:val="auto"/>
                <w:vertAlign w:val="superscript"/>
              </w:rPr>
              <w:t>(h)</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$830</w:t>
            </w:r>
          </w:p>
        </w:tc>
      </w:tr>
      <w:tr>
        <w:trPr>
          <w:trHeight w:val="181"/>
        </w:trPr>
        <w:tc>
          <w:tcPr>
            <w:tcW w:w="916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8"/>
                <w:szCs w:val="18"/>
                <w:b w:val="1"/>
                <w:bCs w:val="1"/>
                <w:color w:val="auto"/>
                <w:vertAlign w:val="superscript"/>
              </w:rPr>
              <w:t>(d)(e)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$2,755</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w:t>
            </w: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$2,805</w:t>
            </w:r>
          </w:p>
        </w:tc>
      </w:tr>
      <w:tr>
        <w:trPr>
          <w:trHeight w:val="20"/>
        </w:trPr>
        <w:tc>
          <w:tcPr>
            <w:tcW w:w="9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6" w:lineRule="exact"/>
        <w:rPr>
          <w:rFonts w:ascii="Times New Roman" w:cs="Times New Roman" w:eastAsia="Times New Roman" w:hAnsi="Times New Roman"/>
          <w:sz w:val="13"/>
          <w:szCs w:val="13"/>
          <w:color w:val="auto"/>
        </w:rPr>
      </w:pPr>
    </w:p>
    <w:p>
      <w:pPr>
        <w:jc w:val="both"/>
        <w:ind w:left="285" w:hanging="285"/>
        <w:spacing w:after="0" w:line="243" w:lineRule="auto"/>
        <w:tabs>
          <w:tab w:leader="none" w:pos="27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(1) the Company's restructuring plan announced in July 2023, as further discussed in the Annual Report on Form 10-K for the fiscal year ended December 31, 2023 ("2023 Restructuring Plan"), and (2) the Company's restructuring plan announced in June 2024, as further discussed in the Quarterly Report on Form 10-Q for the quarter ended September 30, 2024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full year ended December 31, 2024, there were $9 million and $100 million of restructuring charges related to the July 2023 Restructuring Plan and the June 2024 Restructuring Plan, respectively.</w:t>
      </w: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reconciliation of "</w:t>
      </w:r>
      <w:r>
        <w:rPr>
          <w:rFonts w:ascii="Times New Roman" w:cs="Times New Roman" w:eastAsia="Times New Roman" w:hAnsi="Times New Roman"/>
          <w:sz w:val="13"/>
          <w:szCs w:val="13"/>
          <w:i w:val="1"/>
          <w:iCs w:val="1"/>
          <w:color w:val="auto"/>
        </w:rPr>
        <w:t>Components of Interest Expense"</w:t>
      </w:r>
      <w:r>
        <w:rPr>
          <w:rFonts w:ascii="Times New Roman" w:cs="Times New Roman" w:eastAsia="Times New Roman" w:hAnsi="Times New Roman"/>
          <w:sz w:val="13"/>
          <w:szCs w:val="13"/>
          <w:color w:val="auto"/>
        </w:rPr>
        <w:t xml:space="preserve"> for a discussion of non-cash interest expense.</w:t>
      </w: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 of Adjusted EBITDA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 from discontinued operations.</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reconciliation of "</w:t>
      </w:r>
      <w:r>
        <w:rPr>
          <w:rFonts w:ascii="Times New Roman" w:cs="Times New Roman" w:eastAsia="Times New Roman" w:hAnsi="Times New Roman"/>
          <w:sz w:val="13"/>
          <w:szCs w:val="13"/>
          <w:i w:val="1"/>
          <w:iCs w:val="1"/>
          <w:color w:val="auto"/>
        </w:rPr>
        <w:t>Outlook for Components of Interest Expense</w:t>
      </w:r>
      <w:r>
        <w:rPr>
          <w:rFonts w:ascii="Times New Roman" w:cs="Times New Roman" w:eastAsia="Times New Roman" w:hAnsi="Times New Roman"/>
          <w:sz w:val="13"/>
          <w:szCs w:val="13"/>
          <w:color w:val="auto"/>
        </w:rPr>
        <w:t>" for a discussion of non-cash interest expense.</w:t>
      </w:r>
    </w:p>
    <w:p>
      <w:pPr>
        <w:ind w:left="285" w:hanging="285"/>
        <w:spacing w:after="0"/>
        <w:tabs>
          <w:tab w:leader="none" w:pos="28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ind w:left="265" w:hanging="265"/>
        <w:spacing w:after="0"/>
        <w:tabs>
          <w:tab w:leader="none" w:pos="26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15" w:name="page16"/>
    <w:bookmarkEnd w:id="15"/>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Historical FFO and AFFO:</w:t>
      </w:r>
    </w:p>
    <w:p>
      <w:pPr>
        <w:spacing w:after="0" w:line="189" w:lineRule="exact"/>
        <w:rPr>
          <w:sz w:val="20"/>
          <w:szCs w:val="20"/>
          <w:color w:val="auto"/>
        </w:rPr>
      </w:pPr>
    </w:p>
    <w:tbl>
      <w:tblPr>
        <w:tblLayout w:type="fixed"/>
        <w:tblInd w:w="45"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For the Twelve Months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1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81"/>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18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write-down charges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9"/>
        </w:trPr>
        <w:tc>
          <w:tcPr>
            <w:tcW w:w="59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5920" w:type="dxa"/>
            <w:vAlign w:val="bottom"/>
          </w:tcPr>
          <w:p>
            <w:pPr>
              <w:ind w:left="28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(b)(c)</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737</w:t>
            </w: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2,885</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3,227</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2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403"/>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FFO (from above)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24"/>
                <w:szCs w:val="24"/>
                <w:color w:val="auto"/>
              </w:rPr>
            </w:pP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2,885</w:t>
            </w:r>
          </w:p>
        </w:tc>
        <w:tc>
          <w:tcPr>
            <w:tcW w:w="80" w:type="dxa"/>
            <w:vAlign w:val="bottom"/>
          </w:tcPr>
          <w:p>
            <w:pPr>
              <w:spacing w:after="0"/>
              <w:rPr>
                <w:sz w:val="24"/>
                <w:szCs w:val="24"/>
                <w:color w:val="auto"/>
              </w:rPr>
            </w:pPr>
          </w:p>
        </w:tc>
        <w:tc>
          <w:tcPr>
            <w:tcW w:w="840" w:type="dxa"/>
            <w:vAlign w:val="bottom"/>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increase (decrease) FFO:</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revenues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expenses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portion of tax provision</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non-cash interest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9"/>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5"/>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5920" w:type="dxa"/>
            <w:vAlign w:val="bottom"/>
          </w:tcPr>
          <w:p>
            <w:pPr>
              <w:ind w:left="140"/>
              <w:spacing w:after="0" w:line="198"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87"/>
        </w:trPr>
        <w:tc>
          <w:tcPr>
            <w:tcW w:w="5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4"/>
        </w:trPr>
        <w:tc>
          <w:tcPr>
            <w:tcW w:w="5920" w:type="dxa"/>
            <w:vAlign w:val="bottom"/>
          </w:tcPr>
          <w:p>
            <w:pPr>
              <w:ind w:left="28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AFFO</w:t>
            </w:r>
            <w:r>
              <w:rPr>
                <w:rFonts w:ascii="Times New Roman" w:cs="Times New Roman" w:eastAsia="Times New Roman" w:hAnsi="Times New Roman"/>
                <w:sz w:val="8"/>
                <w:szCs w:val="8"/>
                <w:b w:val="1"/>
                <w:bCs w:val="1"/>
                <w:color w:val="auto"/>
              </w:rPr>
              <w:t>(b)(c)</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785</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3,040</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3,277</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2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85" w:hanging="285"/>
        <w:spacing w:after="0"/>
        <w:tabs>
          <w:tab w:leader="none" w:pos="28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jc w:val="both"/>
        <w:ind w:left="285" w:right="20" w:hanging="285"/>
        <w:spacing w:after="0" w:line="247" w:lineRule="auto"/>
        <w:tabs>
          <w:tab w:leader="none" w:pos="279"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full year ended December 31, 2024, there were $9 million and $100 million of restructuring charges related to the July 2023 Restructuring Plan and the June 2024 Restructuring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16" w:name="page17"/>
    <w:bookmarkEnd w:id="16"/>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Historical FFO and AFFO per share:</w:t>
      </w:r>
    </w:p>
    <w:p>
      <w:pPr>
        <w:spacing w:after="0" w:line="189" w:lineRule="exact"/>
        <w:rPr>
          <w:sz w:val="20"/>
          <w:szCs w:val="20"/>
          <w:color w:val="auto"/>
        </w:rPr>
      </w:pPr>
    </w:p>
    <w:tbl>
      <w:tblPr>
        <w:tblLayout w:type="fixed"/>
        <w:tblInd w:w="265"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For the Twelve Months Ended</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totals may not sum due to rounding)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1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December 31, 2023</w:t>
            </w:r>
          </w:p>
        </w:tc>
        <w:tc>
          <w:tcPr>
            <w:tcW w:w="80" w:type="dxa"/>
            <w:vAlign w:val="bottom"/>
          </w:tcPr>
          <w:p>
            <w:pPr>
              <w:spacing w:after="0"/>
              <w:rPr>
                <w:sz w:val="15"/>
                <w:szCs w:val="15"/>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2024</w:t>
            </w:r>
          </w:p>
        </w:tc>
        <w:tc>
          <w:tcPr>
            <w:tcW w:w="1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December 31, 2023</w:t>
            </w:r>
          </w:p>
        </w:tc>
        <w:tc>
          <w:tcPr>
            <w:tcW w:w="0" w:type="dxa"/>
            <w:vAlign w:val="bottom"/>
          </w:tcPr>
          <w:p>
            <w:pPr>
              <w:spacing w:after="0"/>
              <w:rPr>
                <w:sz w:val="1"/>
                <w:szCs w:val="1"/>
                <w:color w:val="auto"/>
              </w:rPr>
            </w:pPr>
          </w:p>
        </w:tc>
      </w:tr>
      <w:tr>
        <w:trPr>
          <w:trHeight w:val="181"/>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89"/>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85"/>
        </w:trPr>
        <w:tc>
          <w:tcPr>
            <w:tcW w:w="5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write-down charges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99"/>
        </w:trPr>
        <w:tc>
          <w:tcPr>
            <w:tcW w:w="540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5400" w:type="dxa"/>
            <w:vAlign w:val="bottom"/>
          </w:tcPr>
          <w:p>
            <w:pPr>
              <w:ind w:left="28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(b)(c)</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tcPr>
          <w:p>
            <w:pPr>
              <w:spacing w:after="0"/>
              <w:rPr>
                <w:sz w:val="15"/>
                <w:szCs w:val="15"/>
                <w:color w:val="auto"/>
              </w:rPr>
            </w:pPr>
          </w:p>
        </w:tc>
        <w:tc>
          <w:tcPr>
            <w:tcW w:w="8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6.64</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7.43</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bl>
    <w:p>
      <w:pPr>
        <w:spacing w:after="0" w:line="177" w:lineRule="exact"/>
        <w:rPr>
          <w:sz w:val="20"/>
          <w:szCs w:val="20"/>
          <w:color w:val="auto"/>
        </w:rPr>
      </w:pPr>
    </w:p>
    <w:p>
      <w:pPr>
        <w:sectPr>
          <w:pgSz w:w="11900" w:h="16838" w:orient="portrait"/>
          <w:cols w:equalWidth="0" w:num="1">
            <w:col w:w="11265"/>
          </w:cols>
          <w:pgMar w:left="315" w:top="250" w:right="319" w:bottom="1440" w:gutter="0" w:footer="0" w:header="0"/>
        </w:sectPr>
      </w:pPr>
    </w:p>
    <w:p>
      <w:pPr>
        <w:ind w:left="265"/>
        <w:spacing w:after="0"/>
        <w:rPr>
          <w:sz w:val="20"/>
          <w:szCs w:val="20"/>
          <w:color w:val="auto"/>
        </w:rPr>
      </w:pPr>
      <w:r>
        <w:rPr>
          <w:rFonts w:ascii="Times New Roman" w:cs="Times New Roman" w:eastAsia="Times New Roman" w:hAnsi="Times New Roman"/>
          <w:sz w:val="14"/>
          <w:szCs w:val="14"/>
          <w:color w:val="auto"/>
        </w:rPr>
        <w:t>FFO (from above)</w:t>
      </w:r>
    </w:p>
    <w:p>
      <w:pPr>
        <w:spacing w:after="0" w:line="28"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4"/>
          <w:szCs w:val="14"/>
          <w:color w:val="auto"/>
        </w:rPr>
        <w:t>Adjustments to increase (decrease) FFO:</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Straight-lined revenues</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Straight-lined expenses</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Stock-based compensation expense, net</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Non-cash portion of tax provision</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Amortization of non-cash interest expense</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28"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Acquisition and integration costs</w:t>
      </w:r>
    </w:p>
    <w:p>
      <w:pPr>
        <w:spacing w:after="0" w:line="26"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p>
      <w:pPr>
        <w:ind w:left="405"/>
        <w:spacing w:after="0"/>
        <w:rPr>
          <w:sz w:val="20"/>
          <w:szCs w:val="20"/>
          <w:color w:val="auto"/>
        </w:rPr>
      </w:pPr>
      <w:r>
        <w:rPr>
          <w:rFonts w:ascii="Times New Roman" w:cs="Times New Roman" w:eastAsia="Times New Roman" w:hAnsi="Times New Roman"/>
          <w:sz w:val="14"/>
          <w:szCs w:val="14"/>
          <w:color w:val="auto"/>
        </w:rPr>
        <w:t>Sustaining capital expenditures</w:t>
      </w:r>
    </w:p>
    <w:p>
      <w:pPr>
        <w:ind w:left="545"/>
        <w:spacing w:after="0" w:line="186" w:lineRule="auto"/>
        <w:rPr>
          <w:sz w:val="20"/>
          <w:szCs w:val="20"/>
          <w:color w:val="auto"/>
        </w:rPr>
      </w:pPr>
      <w:r>
        <w:rPr>
          <w:rFonts w:ascii="Times New Roman" w:cs="Times New Roman" w:eastAsia="Times New Roman" w:hAnsi="Times New Roman"/>
          <w:sz w:val="26"/>
          <w:szCs w:val="26"/>
          <w:b w:val="1"/>
          <w:bCs w:val="1"/>
          <w:color w:val="auto"/>
          <w:vertAlign w:val="subscript"/>
        </w:rPr>
        <w:t>AFFO</w:t>
      </w:r>
      <w:r>
        <w:rPr>
          <w:rFonts w:ascii="Times New Roman" w:cs="Times New Roman" w:eastAsia="Times New Roman" w:hAnsi="Times New Roman"/>
          <w:sz w:val="9"/>
          <w:szCs w:val="9"/>
          <w:b w:val="1"/>
          <w:bCs w:val="1"/>
          <w:color w:val="auto"/>
        </w:rPr>
        <w:t>(b)(c)</w:t>
      </w:r>
    </w:p>
    <w:p>
      <w:pPr>
        <w:spacing w:after="0" w:line="29" w:lineRule="exact"/>
        <w:rPr>
          <w:sz w:val="20"/>
          <w:szCs w:val="20"/>
          <w:color w:val="auto"/>
        </w:rPr>
      </w:pPr>
    </w:p>
    <w:p>
      <w:pPr>
        <w:ind w:left="545"/>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r>
      <w:tr>
        <w:trPr>
          <w:trHeight w:val="378"/>
        </w:trPr>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(0.63)</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r>
      <w:tr>
        <w:trPr>
          <w:trHeight w:val="189"/>
        </w:trPr>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9"/>
        </w:trPr>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92"/>
        </w:trPr>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182"/>
        </w:trPr>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6"/>
        </w:trPr>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w:t>
            </w:r>
          </w:p>
        </w:tc>
      </w:tr>
    </w:tbl>
    <w:p>
      <w:pPr>
        <w:spacing w:after="0" w:line="39" w:lineRule="exact"/>
        <w:rPr>
          <w:sz w:val="20"/>
          <w:szCs w:val="20"/>
          <w:color w:val="auto"/>
        </w:rPr>
      </w:pPr>
    </w:p>
    <w:p>
      <w:pPr>
        <w:sectPr>
          <w:pgSz w:w="11900" w:h="16838" w:orient="portrait"/>
          <w:cols w:equalWidth="0" w:num="2">
            <w:col w:w="4945" w:space="720"/>
            <w:col w:w="5600"/>
          </w:cols>
          <w:pgMar w:left="315" w:top="250" w:right="319" w:bottom="1440" w:gutter="0" w:footer="0" w:header="0"/>
          <w:type w:val="continuous"/>
        </w:sectPr>
      </w:pPr>
    </w:p>
    <w:p>
      <w:pPr>
        <w:ind w:left="285" w:hanging="285"/>
        <w:spacing w:after="0"/>
        <w:tabs>
          <w:tab w:leader="none" w:pos="28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including per share amounts, in this "Non-GAAP Measures and Other Information."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spacing w:after="0" w:line="4" w:lineRule="exact"/>
        <w:rPr>
          <w:rFonts w:ascii="Times New Roman" w:cs="Times New Roman" w:eastAsia="Times New Roman" w:hAnsi="Times New Roman"/>
          <w:sz w:val="13"/>
          <w:szCs w:val="13"/>
          <w:color w:val="auto"/>
        </w:rPr>
      </w:pPr>
    </w:p>
    <w:p>
      <w:pPr>
        <w:jc w:val="both"/>
        <w:ind w:left="285" w:right="20" w:hanging="285"/>
        <w:spacing w:after="0"/>
        <w:tabs>
          <w:tab w:leader="none" w:pos="279"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full year ended December 31, 2024, there were $9 million and $100 million of restructuring charges related to the July 2023 Restructuring Plan and the June 2024 Restructuring Plan, respectively.</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type w:val="continuous"/>
        </w:sectPr>
      </w:pPr>
    </w:p>
    <w:bookmarkStart w:id="17" w:name="page18"/>
    <w:bookmarkEnd w:id="17"/>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Current Outlook for FFO and AFFO:</w:t>
      </w:r>
    </w:p>
    <w:p>
      <w:pPr>
        <w:spacing w:after="0" w:line="189" w:lineRule="exact"/>
        <w:rPr>
          <w:sz w:val="20"/>
          <w:szCs w:val="20"/>
          <w:color w:val="auto"/>
        </w:rPr>
      </w:pPr>
    </w:p>
    <w:tbl>
      <w:tblPr>
        <w:tblLayout w:type="fixed"/>
        <w:tblInd w:w="125" w:type="dxa"/>
        <w:tblCellMar>
          <w:top w:w="0" w:type="dxa"/>
          <w:left w:w="0" w:type="dxa"/>
          <w:bottom w:w="0" w:type="dxa"/>
          <w:right w:w="0" w:type="dxa"/>
        </w:tblCellMar>
      </w:tblPr>
      <w:tr>
        <w:trPr>
          <w:trHeight w:val="180"/>
        </w:trPr>
        <w:tc>
          <w:tcPr>
            <w:tcW w:w="5960" w:type="dxa"/>
            <w:vAlign w:val="bottom"/>
          </w:tcPr>
          <w:p>
            <w:pPr>
              <w:spacing w:after="0"/>
              <w:rPr>
                <w:sz w:val="15"/>
                <w:szCs w:val="15"/>
                <w:color w:val="auto"/>
              </w:rPr>
            </w:pPr>
          </w:p>
        </w:tc>
        <w:tc>
          <w:tcPr>
            <w:tcW w:w="24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w w:val="99"/>
              </w:rPr>
              <w:t>Full Year 2025</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Full Year 2025</w:t>
            </w:r>
          </w:p>
        </w:tc>
        <w:tc>
          <w:tcPr>
            <w:tcW w:w="0" w:type="dxa"/>
            <w:vAlign w:val="bottom"/>
          </w:tcPr>
          <w:p>
            <w:pPr>
              <w:spacing w:after="0"/>
              <w:rPr>
                <w:sz w:val="1"/>
                <w:szCs w:val="1"/>
                <w:color w:val="auto"/>
              </w:rPr>
            </w:pPr>
          </w:p>
        </w:tc>
      </w:tr>
      <w:tr>
        <w:trPr>
          <w:trHeight w:val="199"/>
        </w:trPr>
        <w:tc>
          <w:tcPr>
            <w:tcW w:w="5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totals may not sum due to rounding)</w:t>
            </w:r>
          </w:p>
        </w:tc>
        <w:tc>
          <w:tcPr>
            <w:tcW w:w="2440" w:type="dxa"/>
            <w:vAlign w:val="bottom"/>
            <w:gridSpan w:val="4"/>
          </w:tcPr>
          <w:p>
            <w:pPr>
              <w:jc w:val="center"/>
              <w:ind w:right="80"/>
              <w:spacing w:after="0" w:line="199" w:lineRule="exact"/>
              <w:rPr>
                <w:sz w:val="20"/>
                <w:szCs w:val="20"/>
                <w:color w:val="auto"/>
              </w:rPr>
            </w:pPr>
            <w:r>
              <w:rPr>
                <w:rFonts w:ascii="Times New Roman" w:cs="Times New Roman" w:eastAsia="Times New Roman" w:hAnsi="Times New Roman"/>
                <w:sz w:val="14"/>
                <w:szCs w:val="14"/>
                <w:color w:val="auto"/>
                <w:w w:val="94"/>
              </w:rPr>
              <w:t>Outlook</w:t>
            </w:r>
            <w:r>
              <w:rPr>
                <w:rFonts w:ascii="Times New Roman" w:cs="Times New Roman" w:eastAsia="Times New Roman" w:hAnsi="Times New Roman"/>
                <w:sz w:val="18"/>
                <w:szCs w:val="18"/>
                <w:color w:val="auto"/>
                <w:w w:val="94"/>
                <w:vertAlign w:val="superscript"/>
              </w:rPr>
              <w:t>(a)</w:t>
            </w:r>
          </w:p>
        </w:tc>
        <w:tc>
          <w:tcPr>
            <w:tcW w:w="2360" w:type="dxa"/>
            <w:vAlign w:val="bottom"/>
            <w:gridSpan w:val="3"/>
          </w:tcPr>
          <w:p>
            <w:pPr>
              <w:jc w:val="center"/>
              <w:spacing w:after="0" w:line="199" w:lineRule="exact"/>
              <w:rPr>
                <w:sz w:val="20"/>
                <w:szCs w:val="20"/>
                <w:color w:val="auto"/>
              </w:rPr>
            </w:pPr>
            <w:r>
              <w:rPr>
                <w:rFonts w:ascii="Times New Roman" w:cs="Times New Roman" w:eastAsia="Times New Roman" w:hAnsi="Times New Roman"/>
                <w:sz w:val="14"/>
                <w:szCs w:val="14"/>
                <w:color w:val="auto"/>
                <w:w w:val="98"/>
              </w:rPr>
              <w:t>Outlook per Share</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181"/>
        </w:trPr>
        <w:tc>
          <w:tcPr>
            <w:tcW w:w="596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8"/>
                <w:szCs w:val="18"/>
                <w:color w:val="auto"/>
                <w:vertAlign w:val="superscript"/>
              </w:rPr>
              <w:t>(b)</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84"/>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write-down charges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from discontinued operations</w:t>
            </w:r>
            <w:r>
              <w:rPr>
                <w:rFonts w:ascii="Times New Roman" w:cs="Times New Roman" w:eastAsia="Times New Roman" w:hAnsi="Times New Roman"/>
                <w:sz w:val="18"/>
                <w:szCs w:val="18"/>
                <w:color w:val="auto"/>
                <w:vertAlign w:val="superscript"/>
              </w:rPr>
              <w:t>(c)</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1"/>
        </w:trPr>
        <w:tc>
          <w:tcPr>
            <w:tcW w:w="5960" w:type="dxa"/>
            <w:vAlign w:val="bottom"/>
          </w:tcPr>
          <w:p>
            <w:pPr>
              <w:ind w:left="28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(d)(e)</w:t>
            </w:r>
          </w:p>
        </w:tc>
        <w:tc>
          <w:tcPr>
            <w:tcW w:w="13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$1,610  to</w:t>
            </w: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$1,640</w:t>
            </w:r>
          </w:p>
        </w:tc>
        <w:tc>
          <w:tcPr>
            <w:tcW w:w="80" w:type="dxa"/>
            <w:vAlign w:val="bottom"/>
          </w:tcPr>
          <w:p>
            <w:pPr>
              <w:spacing w:after="0"/>
              <w:rPr>
                <w:sz w:val="15"/>
                <w:szCs w:val="15"/>
                <w:color w:val="auto"/>
              </w:rPr>
            </w:pPr>
          </w:p>
        </w:tc>
        <w:tc>
          <w:tcPr>
            <w:tcW w:w="13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$3.69  to</w:t>
            </w: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$3.76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60" w:type="dxa"/>
            <w:vAlign w:val="bottom"/>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FFO (from above)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increase (decrease) FFO:</w:t>
            </w: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revenues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portion of tax provision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non-cash interest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(Gains) losses on retirement of long-term obligations</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2"/>
        </w:trPr>
        <w:tc>
          <w:tcPr>
            <w:tcW w:w="5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4"/>
        </w:trPr>
        <w:tc>
          <w:tcPr>
            <w:tcW w:w="5960" w:type="dxa"/>
            <w:vAlign w:val="bottom"/>
          </w:tcPr>
          <w:p>
            <w:pPr>
              <w:ind w:left="28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AFFO</w:t>
            </w:r>
            <w:r>
              <w:rPr>
                <w:rFonts w:ascii="Times New Roman" w:cs="Times New Roman" w:eastAsia="Times New Roman" w:hAnsi="Times New Roman"/>
                <w:sz w:val="8"/>
                <w:szCs w:val="8"/>
                <w:b w:val="1"/>
                <w:bCs w:val="1"/>
                <w:color w:val="auto"/>
              </w:rPr>
              <w:t>(d)(e)</w:t>
            </w:r>
          </w:p>
        </w:tc>
        <w:tc>
          <w:tcPr>
            <w:tcW w:w="13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$1,770  to</w:t>
            </w: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$1,820</w:t>
            </w:r>
          </w:p>
        </w:tc>
        <w:tc>
          <w:tcPr>
            <w:tcW w:w="80" w:type="dxa"/>
            <w:vAlign w:val="bottom"/>
          </w:tcPr>
          <w:p>
            <w:pPr>
              <w:spacing w:after="0"/>
              <w:rPr>
                <w:sz w:val="15"/>
                <w:szCs w:val="15"/>
                <w:color w:val="auto"/>
              </w:rPr>
            </w:pPr>
          </w:p>
        </w:tc>
        <w:tc>
          <w:tcPr>
            <w:tcW w:w="13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$4.06  to</w:t>
            </w: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$4.17</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60" w:type="dxa"/>
            <w:vAlign w:val="bottom"/>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5" w:hanging="285"/>
        <w:spacing w:after="0"/>
        <w:tabs>
          <w:tab w:leader="none" w:pos="28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 from discontinued operations.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including per share amounts, in this "Non-GAAP Measures and Other Information."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 shown.</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18" w:name="page19"/>
    <w:bookmarkEnd w:id="18"/>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Components of Changes in Site Rental Revenues for the Quarters and Years Ended December 31, 2024 and 2023:</w:t>
      </w:r>
    </w:p>
    <w:p>
      <w:pPr>
        <w:spacing w:after="0" w:line="189" w:lineRule="exact"/>
        <w:rPr>
          <w:sz w:val="20"/>
          <w:szCs w:val="20"/>
          <w:color w:val="auto"/>
        </w:rPr>
      </w:pPr>
    </w:p>
    <w:tbl>
      <w:tblPr>
        <w:tblLayout w:type="fixed"/>
        <w:tblInd w:w="105"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80" w:type="dxa"/>
            <w:vAlign w:val="bottom"/>
          </w:tcPr>
          <w:p>
            <w:pPr>
              <w:spacing w:after="0"/>
              <w:rPr>
                <w:sz w:val="16"/>
                <w:szCs w:val="16"/>
                <w:color w:val="auto"/>
              </w:rPr>
            </w:pPr>
          </w:p>
        </w:tc>
        <w:tc>
          <w:tcPr>
            <w:tcW w:w="2520" w:type="dxa"/>
            <w:vAlign w:val="bottom"/>
            <w:gridSpan w:val="4"/>
          </w:tcPr>
          <w:p>
            <w:pPr>
              <w:jc w:val="right"/>
              <w:ind w:right="229"/>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82"/>
        </w:trPr>
        <w:tc>
          <w:tcPr>
            <w:tcW w:w="5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5"/>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1,377</w:t>
            </w:r>
          </w:p>
        </w:tc>
        <w:tc>
          <w:tcPr>
            <w:tcW w:w="120" w:type="dxa"/>
            <w:vAlign w:val="bottom"/>
          </w:tcPr>
          <w:p>
            <w:pPr>
              <w:spacing w:after="0"/>
              <w:rPr>
                <w:sz w:val="21"/>
                <w:szCs w:val="21"/>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Pr>
          <w:p>
            <w:pPr>
              <w:spacing w:after="0"/>
              <w:rPr>
                <w:sz w:val="21"/>
                <w:szCs w:val="21"/>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5,386</w:t>
            </w:r>
          </w:p>
        </w:tc>
        <w:tc>
          <w:tcPr>
            <w:tcW w:w="80" w:type="dxa"/>
            <w:vAlign w:val="bottom"/>
          </w:tcPr>
          <w:p>
            <w:pPr>
              <w:spacing w:after="0"/>
              <w:rPr>
                <w:sz w:val="21"/>
                <w:szCs w:val="21"/>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5,193</w:t>
            </w:r>
          </w:p>
        </w:tc>
        <w:tc>
          <w:tcPr>
            <w:tcW w:w="0" w:type="dxa"/>
            <w:vAlign w:val="bottom"/>
          </w:tcPr>
          <w:p>
            <w:pPr>
              <w:spacing w:after="0"/>
              <w:rPr>
                <w:sz w:val="1"/>
                <w:szCs w:val="1"/>
                <w:color w:val="auto"/>
              </w:rPr>
            </w:pPr>
          </w:p>
        </w:tc>
      </w:tr>
      <w:tr>
        <w:trPr>
          <w:trHeight w:val="333"/>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24"/>
                <w:szCs w:val="24"/>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80"/>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Escalators</w:t>
            </w:r>
          </w:p>
        </w:tc>
        <w:tc>
          <w:tcPr>
            <w:tcW w:w="22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9"/>
        </w:trPr>
        <w:tc>
          <w:tcPr>
            <w:tcW w:w="5540" w:type="dxa"/>
            <w:vAlign w:val="bottom"/>
          </w:tcPr>
          <w:p>
            <w:pPr>
              <w:ind w:left="140"/>
              <w:spacing w:after="0" w:line="189"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9"/>
        </w:trPr>
        <w:tc>
          <w:tcPr>
            <w:tcW w:w="554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2"/>
        </w:trPr>
        <w:tc>
          <w:tcPr>
            <w:tcW w:w="5540" w:type="dxa"/>
            <w:vAlign w:val="bottom"/>
          </w:tcPr>
          <w:p>
            <w:pPr>
              <w:ind w:left="28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w:t>
            </w:r>
          </w:p>
        </w:tc>
        <w:tc>
          <w:tcPr>
            <w:tcW w:w="220" w:type="dxa"/>
            <w:vAlign w:val="bottom"/>
          </w:tcPr>
          <w:p>
            <w:pPr>
              <w:spacing w:after="0"/>
              <w:rPr>
                <w:sz w:val="10"/>
                <w:szCs w:val="10"/>
                <w:color w:val="auto"/>
              </w:rPr>
            </w:pPr>
          </w:p>
        </w:tc>
        <w:tc>
          <w:tcPr>
            <w:tcW w:w="108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0"/>
        </w:trPr>
        <w:tc>
          <w:tcPr>
            <w:tcW w:w="5540" w:type="dxa"/>
            <w:vAlign w:val="bottom"/>
          </w:tcPr>
          <w:p>
            <w:pPr>
              <w:ind w:left="440"/>
              <w:spacing w:after="0" w:line="180" w:lineRule="exact"/>
              <w:rPr>
                <w:sz w:val="20"/>
                <w:szCs w:val="20"/>
                <w:color w:val="auto"/>
              </w:rPr>
            </w:pPr>
            <w:r>
              <w:rPr>
                <w:rFonts w:ascii="Times New Roman" w:cs="Times New Roman" w:eastAsia="Times New Roman" w:hAnsi="Times New Roman"/>
                <w:sz w:val="14"/>
                <w:szCs w:val="14"/>
                <w:color w:val="auto"/>
              </w:rPr>
              <w:t>Cancellations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54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(a)(b)</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554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4"/>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revenues</w:t>
            </w:r>
          </w:p>
        </w:tc>
        <w:tc>
          <w:tcPr>
            <w:tcW w:w="22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9"/>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22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185"/>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99"/>
        </w:trPr>
        <w:tc>
          <w:tcPr>
            <w:tcW w:w="554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2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site rental revenues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1,597</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1,603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6,358</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6,532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47"/>
        </w:trPr>
        <w:tc>
          <w:tcPr>
            <w:tcW w:w="554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 as</w:t>
            </w:r>
          </w:p>
        </w:tc>
        <w:tc>
          <w:tcPr>
            <w:tcW w:w="2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80"/>
        </w:trPr>
        <w:tc>
          <w:tcPr>
            <w:tcW w:w="5540" w:type="dxa"/>
            <w:vAlign w:val="bottom"/>
          </w:tcPr>
          <w:p>
            <w:pPr>
              <w:ind w:left="280"/>
              <w:spacing w:after="0" w:line="180" w:lineRule="exact"/>
              <w:rPr>
                <w:sz w:val="20"/>
                <w:szCs w:val="20"/>
                <w:color w:val="auto"/>
              </w:rPr>
            </w:pPr>
            <w:r>
              <w:rPr>
                <w:rFonts w:ascii="Times New Roman" w:cs="Times New Roman" w:eastAsia="Times New Roman" w:hAnsi="Times New Roman"/>
                <w:sz w:val="14"/>
                <w:szCs w:val="14"/>
                <w:color w:val="auto"/>
              </w:rPr>
              <w:t>a percentage of prior year site rental billings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Organic Contribution to Site Rental Billings as a percentage of prior year site rental billings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85" w:right="20" w:hanging="285"/>
        <w:spacing w:after="0" w:line="255" w:lineRule="auto"/>
        <w:tabs>
          <w:tab w:leader="none" w:pos="28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definitions of site rental billings, core leasing activity, non-renewals, other billings, Sprint Cancellations, Organic Contribution to Site Rental Billings and Organic Contribution to Site Rental Billings as Adjusted for Impact of Sprint Cancellations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ind w:left="285" w:right="20" w:hanging="285"/>
        <w:spacing w:after="0" w:line="237" w:lineRule="auto"/>
        <w:tabs>
          <w:tab w:leader="none" w:pos="279"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$5 million and $2 million of non-renewals associated with Sprint Cancellations that related to small cells and fiber solutions, respectively, and in full year 2023, there were $14 million and $7 million of non-renewals associated with Sprint Cancellations that related to small cells and fiber solutions, respectively.</w:t>
      </w:r>
    </w:p>
    <w:p>
      <w:pPr>
        <w:ind w:left="285" w:right="20" w:hanging="285"/>
        <w:spacing w:after="0" w:line="253" w:lineRule="auto"/>
        <w:tabs>
          <w:tab w:leader="none" w:pos="28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19" w:name="page20"/>
    <w:bookmarkEnd w:id="19"/>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17</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Towers Segment Components of Changes in Site Rental Revenues for the Quarters and Years Ended December 31, 2024 and 2023:</w:t>
      </w:r>
    </w:p>
    <w:p>
      <w:pPr>
        <w:spacing w:after="0" w:line="189"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60" w:type="dxa"/>
            <w:vAlign w:val="bottom"/>
          </w:tcPr>
          <w:p>
            <w:pPr>
              <w:spacing w:after="0"/>
              <w:rPr>
                <w:sz w:val="16"/>
                <w:szCs w:val="16"/>
                <w:color w:val="auto"/>
              </w:rPr>
            </w:pPr>
          </w:p>
        </w:tc>
        <w:tc>
          <w:tcPr>
            <w:tcW w:w="2480" w:type="dxa"/>
            <w:vAlign w:val="bottom"/>
            <w:gridSpan w:val="4"/>
          </w:tcPr>
          <w:p>
            <w:pPr>
              <w:jc w:val="right"/>
              <w:ind w:right="209"/>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82"/>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5"/>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tcPr>
          <w:p>
            <w:pPr>
              <w:spacing w:after="0"/>
              <w:rPr>
                <w:sz w:val="21"/>
                <w:szCs w:val="21"/>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21"/>
                <w:szCs w:val="21"/>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21"/>
                <w:szCs w:val="21"/>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333"/>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24"/>
                <w:szCs w:val="24"/>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20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9"/>
        </w:trPr>
        <w:tc>
          <w:tcPr>
            <w:tcW w:w="582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9"/>
        </w:trPr>
        <w:tc>
          <w:tcPr>
            <w:tcW w:w="5820" w:type="dxa"/>
            <w:vAlign w:val="bottom"/>
          </w:tcPr>
          <w:p>
            <w:pPr>
              <w:ind w:left="160"/>
              <w:spacing w:after="0" w:line="19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5820" w:type="dxa"/>
            <w:vAlign w:val="bottom"/>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15"/>
                <w:szCs w:val="15"/>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4"/>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20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89"/>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20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9"/>
        </w:trPr>
        <w:tc>
          <w:tcPr>
            <w:tcW w:w="5820" w:type="dxa"/>
            <w:vAlign w:val="bottom"/>
          </w:tcPr>
          <w:p>
            <w:pPr>
              <w:ind w:left="160"/>
              <w:spacing w:after="0" w:line="199"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(b)</w:t>
            </w:r>
          </w:p>
        </w:tc>
        <w:tc>
          <w:tcPr>
            <w:tcW w:w="20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1"/>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site rental revenues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1,070</w:t>
            </w: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1,079</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4,266</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4,313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5"/>
        </w:trPr>
        <w:tc>
          <w:tcPr>
            <w:tcW w:w="5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revenues as a percentage of prior year site rental billings: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285" w:hanging="285"/>
        <w:spacing w:after="0"/>
        <w:tabs>
          <w:tab w:leader="none" w:pos="285"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definitions of site rental billings, core leasing activity, non-renewals, other billings, and Organic Contribution to Site Rental Billings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16" w:lineRule="exact"/>
        <w:rPr>
          <w:rFonts w:ascii="Times New Roman" w:cs="Times New Roman" w:eastAsia="Times New Roman" w:hAnsi="Times New Roman"/>
          <w:sz w:val="13"/>
          <w:szCs w:val="13"/>
          <w:color w:val="auto"/>
        </w:rPr>
      </w:pPr>
    </w:p>
    <w:p>
      <w:pPr>
        <w:ind w:left="285" w:right="20" w:hanging="285"/>
        <w:spacing w:after="0" w:line="253" w:lineRule="auto"/>
        <w:tabs>
          <w:tab w:leader="none" w:pos="27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20" w:name="page21"/>
    <w:bookmarkEnd w:id="20"/>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Fiber Segment Components of Changes in Site Rental Revenues by Line of Business for the Quarters and Years Ended December 31, 2024 and 2023:</w:t>
      </w:r>
    </w:p>
    <w:p>
      <w:pPr>
        <w:spacing w:after="0" w:line="187" w:lineRule="exact"/>
        <w:rPr>
          <w:sz w:val="20"/>
          <w:szCs w:val="20"/>
          <w:color w:val="auto"/>
        </w:rPr>
      </w:pPr>
    </w:p>
    <w:tbl>
      <w:tblPr>
        <w:tblLayout w:type="fixed"/>
        <w:tblInd w:w="45" w:type="dxa"/>
        <w:tblCellMar>
          <w:top w:w="0" w:type="dxa"/>
          <w:left w:w="0" w:type="dxa"/>
          <w:bottom w:w="0" w:type="dxa"/>
          <w:right w:w="0" w:type="dxa"/>
        </w:tblCellMar>
      </w:tblPr>
      <w:tr>
        <w:trPr>
          <w:trHeight w:val="186"/>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Small Cells</w:t>
            </w:r>
          </w:p>
        </w:tc>
        <w:tc>
          <w:tcPr>
            <w:tcW w:w="140" w:type="dxa"/>
            <w:vAlign w:val="bottom"/>
          </w:tcPr>
          <w:p>
            <w:pPr>
              <w:spacing w:after="0"/>
              <w:rPr>
                <w:sz w:val="16"/>
                <w:szCs w:val="16"/>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20" w:type="dxa"/>
            <w:vAlign w:val="bottom"/>
          </w:tcPr>
          <w:p>
            <w:pPr>
              <w:spacing w:after="0"/>
              <w:rPr>
                <w:sz w:val="16"/>
                <w:szCs w:val="16"/>
                <w:color w:val="auto"/>
              </w:rPr>
            </w:pPr>
          </w:p>
        </w:tc>
        <w:tc>
          <w:tcPr>
            <w:tcW w:w="2320" w:type="dxa"/>
            <w:vAlign w:val="bottom"/>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82"/>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5"/>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1"/>
                <w:szCs w:val="21"/>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21"/>
                <w:szCs w:val="21"/>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333"/>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24"/>
                <w:szCs w:val="24"/>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Escalators</w:t>
            </w:r>
          </w:p>
        </w:tc>
        <w:tc>
          <w:tcPr>
            <w:tcW w:w="14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6220" w:type="dxa"/>
            <w:vAlign w:val="bottom"/>
          </w:tcPr>
          <w:p>
            <w:pPr>
              <w:ind w:left="140"/>
              <w:spacing w:after="0" w:line="189"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62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6220" w:type="dxa"/>
            <w:vAlign w:val="bottom"/>
          </w:tcPr>
          <w:p>
            <w:pPr>
              <w:ind w:left="280"/>
              <w:spacing w:after="0" w:line="172"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9"/>
        </w:trPr>
        <w:tc>
          <w:tcPr>
            <w:tcW w:w="62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(a)(b)</w:t>
            </w:r>
          </w:p>
        </w:tc>
        <w:tc>
          <w:tcPr>
            <w:tcW w:w="14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1"/>
        </w:trPr>
        <w:tc>
          <w:tcPr>
            <w:tcW w:w="62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4"/>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Straight-lined revenues</w:t>
            </w:r>
          </w:p>
        </w:tc>
        <w:tc>
          <w:tcPr>
            <w:tcW w:w="14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85"/>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9"/>
        </w:trPr>
        <w:tc>
          <w:tcPr>
            <w:tcW w:w="6220" w:type="dxa"/>
            <w:vAlign w:val="bottom"/>
          </w:tcPr>
          <w:p>
            <w:pPr>
              <w:ind w:left="140"/>
              <w:spacing w:after="0" w:line="199"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4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site rental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178</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170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795</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47"/>
        </w:trPr>
        <w:tc>
          <w:tcPr>
            <w:tcW w:w="62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 as a</w:t>
            </w: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80"/>
        </w:trPr>
        <w:tc>
          <w:tcPr>
            <w:tcW w:w="6220" w:type="dxa"/>
            <w:vAlign w:val="bottom"/>
          </w:tcPr>
          <w:p>
            <w:pPr>
              <w:ind w:left="280"/>
              <w:spacing w:after="0" w:line="180"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Organic Contribution to Site Rental Billings as a percentage of prior year site rental billings</w:t>
            </w:r>
            <w:r>
              <w:rPr>
                <w:rFonts w:ascii="Times New Roman" w:cs="Times New Roman" w:eastAsia="Times New Roman" w:hAnsi="Times New Roman"/>
                <w:sz w:val="18"/>
                <w:szCs w:val="18"/>
                <w:color w:val="auto"/>
                <w:vertAlign w:val="superscript"/>
              </w:rPr>
              <w:t>(a)</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85" w:right="20" w:hanging="285"/>
        <w:spacing w:after="0" w:line="255" w:lineRule="auto"/>
        <w:tabs>
          <w:tab w:leader="none" w:pos="28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definitions of site rental billings, core leasing activity, non-renewals, other billings, Sprint Cancellations, Organic Contribution to Site Rental Billings and Organic Contribution to Site Rental Billings as Adjusted for Impact of Sprint Cancellations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ind w:left="285" w:right="20" w:hanging="285"/>
        <w:spacing w:after="0" w:line="237" w:lineRule="auto"/>
        <w:tabs>
          <w:tab w:leader="none" w:pos="279"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$5 million of non-renewals associated with Sprint Cancellations that related to small cells, and in full year 2023, there were $14 million of non-renewals associated with Sprint Cancellations that related to small cells.</w:t>
      </w:r>
    </w:p>
    <w:p>
      <w:pPr>
        <w:ind w:left="285" w:right="20" w:hanging="285"/>
        <w:spacing w:after="0" w:line="253" w:lineRule="auto"/>
        <w:tabs>
          <w:tab w:leader="none" w:pos="28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21" w:name="page22"/>
    <w:bookmarkEnd w:id="21"/>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Fiber Segment Components of Changes in Site Rental Revenues by Line of Business for the Quarters and Years Ended December 31, 2024 and 2023:</w:t>
      </w:r>
    </w:p>
    <w:p>
      <w:pPr>
        <w:spacing w:after="0" w:line="187" w:lineRule="exact"/>
        <w:rPr>
          <w:sz w:val="20"/>
          <w:szCs w:val="20"/>
          <w:color w:val="auto"/>
        </w:rPr>
      </w:pPr>
    </w:p>
    <w:tbl>
      <w:tblPr>
        <w:tblLayout w:type="fixed"/>
        <w:tblInd w:w="25" w:type="dxa"/>
        <w:tblCellMar>
          <w:top w:w="0" w:type="dxa"/>
          <w:left w:w="0" w:type="dxa"/>
          <w:bottom w:w="0" w:type="dxa"/>
          <w:right w:w="0" w:type="dxa"/>
        </w:tblCellMar>
      </w:tblPr>
      <w:tr>
        <w:trPr>
          <w:trHeight w:val="186"/>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Three Months Ended December 31,</w:t>
            </w:r>
          </w:p>
        </w:tc>
        <w:tc>
          <w:tcPr>
            <w:tcW w:w="140" w:type="dxa"/>
            <w:vAlign w:val="bottom"/>
          </w:tcPr>
          <w:p>
            <w:pPr>
              <w:spacing w:after="0"/>
              <w:rPr>
                <w:sz w:val="16"/>
                <w:szCs w:val="16"/>
                <w:color w:val="auto"/>
              </w:rPr>
            </w:pPr>
          </w:p>
        </w:tc>
        <w:tc>
          <w:tcPr>
            <w:tcW w:w="2360" w:type="dxa"/>
            <w:vAlign w:val="bottom"/>
            <w:gridSpan w:val="4"/>
          </w:tcPr>
          <w:p>
            <w:pPr>
              <w:jc w:val="right"/>
              <w:ind w:right="129"/>
              <w:spacing w:after="0"/>
              <w:rPr>
                <w:sz w:val="20"/>
                <w:szCs w:val="20"/>
                <w:color w:val="auto"/>
              </w:rPr>
            </w:pPr>
            <w:r>
              <w:rPr>
                <w:rFonts w:ascii="Times New Roman" w:cs="Times New Roman" w:eastAsia="Times New Roman" w:hAnsi="Times New Roman"/>
                <w:sz w:val="14"/>
                <w:szCs w:val="14"/>
                <w:color w:val="auto"/>
              </w:rPr>
              <w:t>Twelve Months Ended December 31,</w:t>
            </w:r>
          </w:p>
        </w:tc>
        <w:tc>
          <w:tcPr>
            <w:tcW w:w="0" w:type="dxa"/>
            <w:vAlign w:val="bottom"/>
          </w:tcPr>
          <w:p>
            <w:pPr>
              <w:spacing w:after="0"/>
              <w:rPr>
                <w:sz w:val="1"/>
                <w:szCs w:val="1"/>
                <w:color w:val="auto"/>
              </w:rPr>
            </w:pPr>
          </w:p>
        </w:tc>
      </w:tr>
      <w:tr>
        <w:trPr>
          <w:trHeight w:val="182"/>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1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65"/>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21"/>
                <w:szCs w:val="21"/>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Pr>
          <w:p>
            <w:pPr>
              <w:spacing w:after="0"/>
              <w:rPr>
                <w:sz w:val="21"/>
                <w:szCs w:val="21"/>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333"/>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24"/>
                <w:szCs w:val="24"/>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0"/>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614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9"/>
        </w:trPr>
        <w:tc>
          <w:tcPr>
            <w:tcW w:w="6140" w:type="dxa"/>
            <w:vAlign w:val="bottom"/>
          </w:tcPr>
          <w:p>
            <w:pPr>
              <w:ind w:left="160"/>
              <w:spacing w:after="0" w:line="19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2"/>
        </w:trPr>
        <w:tc>
          <w:tcPr>
            <w:tcW w:w="6140" w:type="dxa"/>
            <w:vAlign w:val="bottom"/>
          </w:tcPr>
          <w:p>
            <w:pPr>
              <w:ind w:left="300"/>
              <w:spacing w:after="0" w:line="172"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4"/>
                <w:szCs w:val="14"/>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6140" w:type="dxa"/>
            <w:vAlign w:val="bottom"/>
          </w:tcPr>
          <w:p>
            <w:pPr>
              <w:ind w:left="160"/>
              <w:spacing w:after="0" w:line="19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(a)(b)</w:t>
            </w:r>
          </w:p>
        </w:tc>
        <w:tc>
          <w:tcPr>
            <w:tcW w:w="1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1"/>
        </w:trPr>
        <w:tc>
          <w:tcPr>
            <w:tcW w:w="6140" w:type="dxa"/>
            <w:vAlign w:val="bottom"/>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4"/>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5"/>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9"/>
        </w:trPr>
        <w:tc>
          <w:tcPr>
            <w:tcW w:w="6140" w:type="dxa"/>
            <w:vAlign w:val="bottom"/>
          </w:tcPr>
          <w:p>
            <w:pPr>
              <w:ind w:left="160"/>
              <w:spacing w:after="0" w:line="199"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6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site rental revenues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348</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354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1,385</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1,424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6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47"/>
        </w:trPr>
        <w:tc>
          <w:tcPr>
            <w:tcW w:w="614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 as a</w:t>
            </w:r>
          </w:p>
        </w:tc>
        <w:tc>
          <w:tcPr>
            <w:tcW w:w="1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80"/>
        </w:trPr>
        <w:tc>
          <w:tcPr>
            <w:tcW w:w="6140" w:type="dxa"/>
            <w:vAlign w:val="bottom"/>
          </w:tcPr>
          <w:p>
            <w:pPr>
              <w:ind w:left="300"/>
              <w:spacing w:after="0" w:line="180"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Organic Contribution to Site Rental Billings as a percentage of prior year 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85" w:right="20" w:hanging="285"/>
        <w:spacing w:after="0" w:line="255" w:lineRule="auto"/>
        <w:tabs>
          <w:tab w:leader="none" w:pos="28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definitions of site rental billings, core leasing activity, non-renewals, other billings, Sprint Cancellations, Organic Contribution to Site Rental Billings and Organic Contribution to Site Rental Billings as Adjusted for Impact of Sprint Cancellations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ind w:left="285" w:hanging="285"/>
        <w:spacing w:after="0" w:line="237" w:lineRule="auto"/>
        <w:tabs>
          <w:tab w:leader="none" w:pos="27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$2 million of non-renewals associated with Sprint Cancellations that related to fiber solutions, and in full year 2023, there were $7 million of non-renewals associated with Sprint Cancellations that related to fiber solutions.</w:t>
      </w:r>
    </w:p>
    <w:p>
      <w:pPr>
        <w:ind w:left="285" w:right="20" w:hanging="285"/>
        <w:spacing w:after="0" w:line="253" w:lineRule="auto"/>
        <w:tabs>
          <w:tab w:leader="none" w:pos="283"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22" w:name="page23"/>
    <w:bookmarkEnd w:id="22"/>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20</w:t>
      </w:r>
    </w:p>
    <w:p>
      <w:pPr>
        <w:sectPr>
          <w:pgSz w:w="11900" w:h="16838" w:orient="portrait"/>
          <w:cols w:equalWidth="0" w:num="1">
            <w:col w:w="11265"/>
          </w:cols>
          <w:pgMar w:left="315" w:top="25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Components of Changes in Site Rental Revenues for Current Outlook for Full Year 2025:</w:t>
      </w:r>
    </w:p>
    <w:p>
      <w:pPr>
        <w:spacing w:after="0" w:line="187"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p>
      <w:pPr>
        <w:spacing w:after="0" w:line="3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Components of changes in site rental revenues:</w:t>
      </w:r>
    </w:p>
    <w:p>
      <w:pPr>
        <w:spacing w:after="0" w:line="23"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Prior year Tower segment site rental billings</w:t>
      </w:r>
      <w:r>
        <w:rPr>
          <w:rFonts w:ascii="Times New Roman" w:cs="Times New Roman" w:eastAsia="Times New Roman" w:hAnsi="Times New Roman"/>
          <w:sz w:val="18"/>
          <w:szCs w:val="18"/>
          <w:color w:val="auto"/>
          <w:vertAlign w:val="superscript"/>
        </w:rPr>
        <w:t>(b)(c)</w:t>
      </w:r>
    </w:p>
    <w:p>
      <w:pPr>
        <w:spacing w:after="0" w:line="16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(c)</w:t>
      </w:r>
    </w:p>
    <w:p>
      <w:pPr>
        <w:spacing w:after="0" w:line="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Escalators</w:t>
      </w:r>
    </w:p>
    <w:p>
      <w:pPr>
        <w:ind w:left="165"/>
        <w:spacing w:after="0" w:line="234" w:lineRule="auto"/>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(c)</w:t>
      </w:r>
    </w:p>
    <w:p>
      <w:pPr>
        <w:ind w:left="165"/>
        <w:spacing w:after="0" w:line="234" w:lineRule="auto"/>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(c)</w:t>
      </w:r>
    </w:p>
    <w:p>
      <w:pPr>
        <w:ind w:left="305"/>
        <w:spacing w:after="0" w:line="219" w:lineRule="auto"/>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w:t>
      </w:r>
      <w:r>
        <w:rPr>
          <w:rFonts w:ascii="Times New Roman" w:cs="Times New Roman" w:eastAsia="Times New Roman" w:hAnsi="Times New Roman"/>
          <w:sz w:val="18"/>
          <w:szCs w:val="18"/>
          <w:color w:val="auto"/>
          <w:vertAlign w:val="superscript"/>
        </w:rPr>
        <w:t>(c)</w:t>
      </w:r>
    </w:p>
    <w:p>
      <w:pPr>
        <w:ind w:left="165"/>
        <w:spacing w:after="0" w:line="233" w:lineRule="auto"/>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(c)</w:t>
      </w:r>
    </w:p>
    <w:p>
      <w:pPr>
        <w:ind w:left="305"/>
        <w:spacing w:after="0" w:line="237" w:lineRule="auto"/>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(c)</w:t>
      </w:r>
    </w:p>
    <w:p>
      <w:pPr>
        <w:ind w:left="165"/>
        <w:spacing w:after="0"/>
        <w:rPr>
          <w:sz w:val="20"/>
          <w:szCs w:val="20"/>
          <w:color w:val="auto"/>
        </w:rPr>
      </w:pPr>
      <w:r>
        <w:rPr>
          <w:rFonts w:ascii="Times New Roman" w:cs="Times New Roman" w:eastAsia="Times New Roman" w:hAnsi="Times New Roman"/>
          <w:sz w:val="14"/>
          <w:szCs w:val="14"/>
          <w:color w:val="auto"/>
        </w:rPr>
        <w:t>Straight-lined revenues</w:t>
      </w:r>
    </w:p>
    <w:p>
      <w:pPr>
        <w:spacing w:after="0" w:line="12"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Amortization of prepaid rent</w:t>
      </w:r>
    </w:p>
    <w:p>
      <w:pPr>
        <w:spacing w:after="0" w:line="28"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Other revenues</w:t>
      </w:r>
    </w:p>
    <w:p>
      <w:pPr>
        <w:spacing w:after="0" w:line="23"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(d)</w:t>
      </w:r>
    </w:p>
    <w:p>
      <w:pPr>
        <w:spacing w:after="0" w:line="3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b w:val="1"/>
          <w:bCs w:val="1"/>
          <w:color w:val="auto"/>
        </w:rPr>
        <w:t>Total site rental revenues</w:t>
      </w:r>
    </w:p>
    <w:p>
      <w:pPr>
        <w:spacing w:after="0" w:line="19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Year-over-year changes in revenues:</w:t>
      </w:r>
      <w:r>
        <w:rPr>
          <w:rFonts w:ascii="Times New Roman" w:cs="Times New Roman" w:eastAsia="Times New Roman" w:hAnsi="Times New Roman"/>
          <w:sz w:val="18"/>
          <w:szCs w:val="18"/>
          <w:color w:val="auto"/>
          <w:vertAlign w:val="superscript"/>
        </w:rPr>
        <w:t>(e)</w:t>
      </w:r>
    </w:p>
    <w:p>
      <w:pPr>
        <w:spacing w:after="0" w:line="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p>
      <w:pPr>
        <w:spacing w:after="0" w:line="7"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 as a percentage of prior year site rental billings</w:t>
      </w:r>
      <w:r>
        <w:rPr>
          <w:rFonts w:ascii="Times New Roman" w:cs="Times New Roman" w:eastAsia="Times New Roman" w:hAnsi="Times New Roman"/>
          <w:sz w:val="18"/>
          <w:szCs w:val="18"/>
          <w:color w:val="auto"/>
          <w:vertAlign w:val="superscript"/>
        </w:rPr>
        <w:t>(c)</w:t>
      </w:r>
    </w:p>
    <w:p>
      <w:pPr>
        <w:ind w:left="165"/>
        <w:spacing w:after="0" w:line="231" w:lineRule="auto"/>
        <w:rPr>
          <w:sz w:val="20"/>
          <w:szCs w:val="20"/>
          <w:color w:val="auto"/>
        </w:rPr>
      </w:pPr>
      <w:r>
        <w:rPr>
          <w:rFonts w:ascii="Times New Roman" w:cs="Times New Roman" w:eastAsia="Times New Roman" w:hAnsi="Times New Roman"/>
          <w:sz w:val="14"/>
          <w:szCs w:val="14"/>
          <w:color w:val="auto"/>
        </w:rPr>
        <w:t>Organic Contribution to Site Rental Billings as a percentage of prior year site rental billings</w:t>
      </w:r>
      <w:r>
        <w:rPr>
          <w:rFonts w:ascii="Times New Roman" w:cs="Times New Roman" w:eastAsia="Times New Roman" w:hAnsi="Times New Roman"/>
          <w:sz w:val="18"/>
          <w:szCs w:val="18"/>
          <w:color w:val="auto"/>
          <w:vertAlign w:val="superscript"/>
        </w:rPr>
        <w:t>(c)</w:t>
      </w:r>
    </w:p>
    <w:p>
      <w:pPr>
        <w:spacing w:after="0" w:line="123" w:lineRule="exact"/>
        <w:rPr>
          <w:sz w:val="20"/>
          <w:szCs w:val="20"/>
          <w:color w:val="auto"/>
        </w:rPr>
      </w:pPr>
    </w:p>
    <w:p>
      <w:pPr>
        <w:ind w:left="285" w:hanging="285"/>
        <w:spacing w:after="0"/>
        <w:tabs>
          <w:tab w:leader="none" w:pos="285"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color w:val="auto"/>
        </w:rPr>
        <w:t>Full Year 2025 Outlook</w:t>
      </w:r>
      <w:r>
        <w:rPr>
          <w:rFonts w:ascii="Times New Roman" w:cs="Times New Roman" w:eastAsia="Times New Roman" w:hAnsi="Times New Roman"/>
          <w:sz w:val="17"/>
          <w:szCs w:val="17"/>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1905</wp:posOffset>
            </wp:positionV>
            <wp:extent cx="1051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1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$3,931</w:t>
      </w:r>
    </w:p>
    <w:p>
      <w:pPr>
        <w:spacing w:after="0" w:line="2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$105  to  $115</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$90  to  $100</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$(35)  to  $(25)</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$0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18415</wp:posOffset>
            </wp:positionV>
            <wp:extent cx="10515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$160  to  $190</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$(205)  to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18415</wp:posOffset>
            </wp:positionV>
            <wp:extent cx="10515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$(45)  to  $(15)</w:t>
      </w:r>
    </w:p>
    <w:p>
      <w:pPr>
        <w:spacing w:after="0" w:line="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  to  $15</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$80  to  $110</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$15  to  $15</w:t>
      </w:r>
    </w:p>
    <w:p>
      <w:pPr>
        <w:spacing w:after="0" w:line="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18415</wp:posOffset>
            </wp:positionV>
            <wp:extent cx="10515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$3,987 to $4,032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19685</wp:posOffset>
            </wp:positionV>
            <wp:extent cx="10515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1560" cy="762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41910</wp:posOffset>
            </wp:positionV>
            <wp:extent cx="10515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1560" cy="76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(5.1)%</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4.5%</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(0.8)%</w:t>
      </w:r>
    </w:p>
    <w:p>
      <w:pPr>
        <w:spacing w:after="0" w:line="338" w:lineRule="exact"/>
        <w:rPr>
          <w:sz w:val="20"/>
          <w:szCs w:val="20"/>
          <w:color w:val="auto"/>
        </w:rPr>
      </w:pPr>
    </w:p>
    <w:p>
      <w:pPr>
        <w:sectPr>
          <w:pgSz w:w="11900" w:h="16838" w:orient="portrait"/>
          <w:cols w:equalWidth="0" w:num="2">
            <w:col w:w="8985" w:space="720"/>
            <w:col w:w="1560"/>
          </w:cols>
          <w:pgMar w:left="315" w:top="250" w:right="319" w:bottom="1440" w:gutter="0" w:footer="0" w:header="0"/>
          <w:type w:val="continuous"/>
        </w:sectPr>
      </w:pPr>
    </w:p>
    <w:p>
      <w:pPr>
        <w:ind w:left="285" w:hanging="285"/>
        <w:spacing w:after="0"/>
        <w:tabs>
          <w:tab w:leader="none" w:pos="28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prior year Towers segment site rental billings. The financial impact of prior year Fiber segment site rental billings is excluded since such billings will be included in discontinued operations for 2025.</w:t>
      </w:r>
    </w:p>
    <w:p>
      <w:pPr>
        <w:spacing w:after="0" w:line="4" w:lineRule="exact"/>
        <w:rPr>
          <w:rFonts w:ascii="Times New Roman" w:cs="Times New Roman" w:eastAsia="Times New Roman" w:hAnsi="Times New Roman"/>
          <w:sz w:val="13"/>
          <w:szCs w:val="13"/>
          <w:color w:val="auto"/>
        </w:rPr>
      </w:pPr>
    </w:p>
    <w:p>
      <w:pPr>
        <w:ind w:left="285" w:right="20" w:hanging="285"/>
        <w:spacing w:after="0" w:line="246" w:lineRule="auto"/>
        <w:tabs>
          <w:tab w:leader="none" w:pos="283"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definitions of site rental billings, core leasing activity, non-renewals, Sprint Cancellations, Organic Contribution to Site Rental Billings, and Organic Contribution to Site Rental Billings as Adjusted for Impact of Sprint Cancellations in this "</w:t>
      </w:r>
      <w:r>
        <w:rPr>
          <w:rFonts w:ascii="Times New Roman" w:cs="Times New Roman" w:eastAsia="Times New Roman" w:hAnsi="Times New Roman"/>
          <w:sz w:val="13"/>
          <w:szCs w:val="13"/>
          <w:i w:val="1"/>
          <w:iCs w:val="1"/>
          <w:color w:val="auto"/>
        </w:rPr>
        <w:t>Non-GAAP Measures and Other Information."</w:t>
      </w:r>
    </w:p>
    <w:p>
      <w:pPr>
        <w:spacing w:after="0" w:line="1" w:lineRule="exact"/>
        <w:rPr>
          <w:rFonts w:ascii="Times New Roman" w:cs="Times New Roman" w:eastAsia="Times New Roman" w:hAnsi="Times New Roman"/>
          <w:sz w:val="13"/>
          <w:szCs w:val="13"/>
          <w:color w:val="auto"/>
        </w:rPr>
      </w:pPr>
    </w:p>
    <w:p>
      <w:pPr>
        <w:ind w:left="285" w:right="20" w:hanging="285"/>
        <w:spacing w:after="0" w:line="237" w:lineRule="auto"/>
        <w:tabs>
          <w:tab w:leader="none" w:pos="279"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ind w:left="285" w:hanging="285"/>
        <w:spacing w:after="0"/>
        <w:tabs>
          <w:tab w:leader="none" w:pos="28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based on midpoint of full year 2025 Outlook,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type w:val="continuous"/>
        </w:sectPr>
      </w:pPr>
    </w:p>
    <w:bookmarkStart w:id="23" w:name="page24"/>
    <w:bookmarkEnd w:id="23"/>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Components of Capital Expenditures:</w:t>
      </w:r>
      <w:r>
        <w:rPr>
          <w:rFonts w:ascii="Times New Roman" w:cs="Times New Roman" w:eastAsia="Times New Roman" w:hAnsi="Times New Roman"/>
          <w:sz w:val="20"/>
          <w:szCs w:val="20"/>
          <w:b w:val="1"/>
          <w:bCs w:val="1"/>
          <w:color w:val="auto"/>
          <w:vertAlign w:val="superscript"/>
        </w:rPr>
        <w:t>(a)</w:t>
      </w:r>
    </w:p>
    <w:p>
      <w:pPr>
        <w:spacing w:after="0" w:line="145" w:lineRule="exact"/>
        <w:rPr>
          <w:sz w:val="20"/>
          <w:szCs w:val="20"/>
          <w:color w:val="auto"/>
        </w:rPr>
      </w:pPr>
    </w:p>
    <w:tbl>
      <w:tblPr>
        <w:tblLayout w:type="fixed"/>
        <w:tblInd w:w="25"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Towers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Towers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Fiber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Communications infrastructure improvements and other capital</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2"/>
                <w:szCs w:val="12"/>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4"/>
        </w:trPr>
        <w:tc>
          <w:tcPr>
            <w:tcW w:w="3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projects</w:t>
            </w: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276</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303</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w w:val="99"/>
              </w:rPr>
              <w:t>For the Twelve Months Ended</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Towers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Towers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Fiber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6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Communications infrastructure improvements and other capital</w:t>
            </w: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Pr>
          <w:p>
            <w:pPr>
              <w:spacing w:after="0"/>
              <w:rPr>
                <w:sz w:val="12"/>
                <w:szCs w:val="12"/>
                <w:color w:val="auto"/>
              </w:rPr>
            </w:pPr>
          </w:p>
        </w:tc>
        <w:tc>
          <w:tcPr>
            <w:tcW w:w="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84"/>
        </w:trPr>
        <w:tc>
          <w:tcPr>
            <w:tcW w:w="3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projects</w:t>
            </w: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8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capital expenditures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1,045</w:t>
            </w: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1,222</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1,175</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Outlook for Discretionary Capital Expenditures Less Prepaid Rent Additions:</w:t>
      </w:r>
      <w:r>
        <w:rPr>
          <w:rFonts w:ascii="Times New Roman" w:cs="Times New Roman" w:eastAsia="Times New Roman" w:hAnsi="Times New Roman"/>
          <w:sz w:val="20"/>
          <w:szCs w:val="20"/>
          <w:b w:val="1"/>
          <w:bCs w:val="1"/>
          <w:color w:val="auto"/>
          <w:vertAlign w:val="superscript"/>
        </w:rPr>
        <w:t>(b)(c)</w:t>
      </w:r>
    </w:p>
    <w:p>
      <w:pPr>
        <w:spacing w:after="0" w:line="126" w:lineRule="exact"/>
        <w:rPr>
          <w:sz w:val="20"/>
          <w:szCs w:val="20"/>
          <w:color w:val="auto"/>
        </w:rPr>
      </w:pPr>
    </w:p>
    <w:tbl>
      <w:tblPr>
        <w:tblLayout w:type="fixed"/>
        <w:tblInd w:w="25" w:type="dxa"/>
        <w:tblCellMar>
          <w:top w:w="0" w:type="dxa"/>
          <w:left w:w="0" w:type="dxa"/>
          <w:bottom w:w="0" w:type="dxa"/>
          <w:right w:w="0" w:type="dxa"/>
        </w:tblCellMar>
      </w:tblPr>
      <w:tr>
        <w:trPr>
          <w:trHeight w:val="207"/>
        </w:trPr>
        <w:tc>
          <w:tcPr>
            <w:tcW w:w="9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7"/>
              </w:rPr>
              <w:t>Full Year 2025 Outlook</w:t>
            </w:r>
            <w:r>
              <w:rPr>
                <w:rFonts w:ascii="Times New Roman" w:cs="Times New Roman" w:eastAsia="Times New Roman" w:hAnsi="Times New Roman"/>
                <w:sz w:val="18"/>
                <w:szCs w:val="18"/>
                <w:color w:val="auto"/>
                <w:w w:val="97"/>
                <w:vertAlign w:val="superscript"/>
              </w:rPr>
              <w:t>(d)</w:t>
            </w:r>
          </w:p>
        </w:tc>
      </w:tr>
      <w:tr>
        <w:trPr>
          <w:trHeight w:val="176"/>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92"/>
              </w:rPr>
              <w:t>$185</w:t>
            </w:r>
          </w:p>
        </w:tc>
      </w:tr>
      <w:tr>
        <w:trPr>
          <w:trHeight w:val="194"/>
        </w:trPr>
        <w:tc>
          <w:tcPr>
            <w:tcW w:w="9360" w:type="dxa"/>
            <w:vAlign w:val="bottom"/>
          </w:tcPr>
          <w:p>
            <w:pPr>
              <w:spacing w:after="0" w:line="194" w:lineRule="exact"/>
              <w:rPr>
                <w:sz w:val="20"/>
                <w:szCs w:val="20"/>
                <w:color w:val="auto"/>
              </w:rPr>
            </w:pPr>
            <w:r>
              <w:rPr>
                <w:rFonts w:ascii="Times New Roman" w:cs="Times New Roman" w:eastAsia="Times New Roman" w:hAnsi="Times New Roman"/>
                <w:sz w:val="14"/>
                <w:szCs w:val="14"/>
                <w:color w:val="auto"/>
              </w:rPr>
              <w:t>Less: Prepaid rent additions</w:t>
            </w:r>
            <w:r>
              <w:rPr>
                <w:rFonts w:ascii="Times New Roman" w:cs="Times New Roman" w:eastAsia="Times New Roman" w:hAnsi="Times New Roman"/>
                <w:sz w:val="18"/>
                <w:szCs w:val="18"/>
                <w:color w:val="auto"/>
                <w:vertAlign w:val="superscript"/>
              </w:rPr>
              <w:t>(e)</w:t>
            </w: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~$40</w:t>
            </w:r>
          </w:p>
        </w:tc>
        <w:tc>
          <w:tcPr>
            <w:tcW w:w="800" w:type="dxa"/>
            <w:vAlign w:val="bottom"/>
            <w:tcBorders>
              <w:bottom w:val="single" w:sz="8" w:color="auto"/>
            </w:tcBorders>
          </w:tcPr>
          <w:p>
            <w:pPr>
              <w:spacing w:after="0"/>
              <w:rPr>
                <w:sz w:val="16"/>
                <w:szCs w:val="16"/>
                <w:color w:val="auto"/>
              </w:rPr>
            </w:pPr>
          </w:p>
        </w:tc>
      </w:tr>
      <w:tr>
        <w:trPr>
          <w:trHeight w:val="181"/>
        </w:trPr>
        <w:tc>
          <w:tcPr>
            <w:tcW w:w="9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Discretionary capital expenditures less prepaid rent additions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w:t>
            </w: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92"/>
              </w:rPr>
              <w:t>$145</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Components of Interest Expense:</w:t>
      </w:r>
    </w:p>
    <w:p>
      <w:pPr>
        <w:spacing w:after="0" w:line="189"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82"/>
        </w:trPr>
        <w:tc>
          <w:tcPr>
            <w:tcW w:w="7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tcPr>
          <w:p>
            <w:pPr>
              <w:spacing w:after="0"/>
              <w:rPr>
                <w:sz w:val="15"/>
                <w:szCs w:val="15"/>
                <w:color w:val="auto"/>
              </w:rPr>
            </w:pPr>
          </w:p>
        </w:tc>
        <w:tc>
          <w:tcPr>
            <w:tcW w:w="16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81"/>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debt obligations</w:t>
            </w:r>
          </w:p>
        </w:tc>
        <w:tc>
          <w:tcPr>
            <w:tcW w:w="22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9"/>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financing costs and adjustments on long-term debt</w:t>
            </w: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2"/>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interest</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4"/>
        </w:trPr>
        <w:tc>
          <w:tcPr>
            <w:tcW w:w="7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and amortization of deferred financing costs, net</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Outlook for Components of Interest Expense:</w:t>
      </w:r>
    </w:p>
    <w:p>
      <w:pPr>
        <w:spacing w:after="0" w:line="172" w:lineRule="exact"/>
        <w:rPr>
          <w:sz w:val="20"/>
          <w:szCs w:val="20"/>
          <w:color w:val="auto"/>
        </w:rPr>
      </w:pPr>
    </w:p>
    <w:tbl>
      <w:tblPr>
        <w:tblLayout w:type="fixed"/>
        <w:tblInd w:w="25" w:type="dxa"/>
        <w:tblCellMar>
          <w:top w:w="0" w:type="dxa"/>
          <w:left w:w="0" w:type="dxa"/>
          <w:bottom w:w="0" w:type="dxa"/>
          <w:right w:w="0" w:type="dxa"/>
        </w:tblCellMar>
      </w:tblPr>
      <w:tr>
        <w:trPr>
          <w:trHeight w:val="207"/>
        </w:trPr>
        <w:tc>
          <w:tcPr>
            <w:tcW w:w="9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7"/>
              </w:rPr>
              <w:t>Full Year 2025 Outlook</w:t>
            </w:r>
            <w:r>
              <w:rPr>
                <w:rFonts w:ascii="Times New Roman" w:cs="Times New Roman" w:eastAsia="Times New Roman" w:hAnsi="Times New Roman"/>
                <w:sz w:val="18"/>
                <w:szCs w:val="18"/>
                <w:color w:val="auto"/>
                <w:w w:val="97"/>
                <w:vertAlign w:val="superscript"/>
              </w:rPr>
              <w:t>(d)</w:t>
            </w:r>
          </w:p>
        </w:tc>
      </w:tr>
      <w:tr>
        <w:trPr>
          <w:trHeight w:val="176"/>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on debt obligations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$1,010</w:t>
            </w:r>
          </w:p>
        </w:tc>
      </w:tr>
      <w:tr>
        <w:trPr>
          <w:trHeight w:val="189"/>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deferred financing costs and adjustments on long-term debt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$30</w:t>
            </w:r>
          </w:p>
        </w:tc>
      </w:tr>
      <w:tr>
        <w:trPr>
          <w:trHeight w:val="192"/>
        </w:trPr>
        <w:tc>
          <w:tcPr>
            <w:tcW w:w="9360" w:type="dxa"/>
            <w:vAlign w:val="bottom"/>
          </w:tcPr>
          <w:p>
            <w:pPr>
              <w:spacing w:after="0"/>
              <w:rPr>
                <w:sz w:val="20"/>
                <w:szCs w:val="20"/>
                <w:color w:val="auto"/>
              </w:rPr>
            </w:pPr>
            <w:r>
              <w:rPr>
                <w:rFonts w:ascii="Times New Roman" w:cs="Times New Roman" w:eastAsia="Times New Roman" w:hAnsi="Times New Roman"/>
                <w:sz w:val="14"/>
                <w:szCs w:val="14"/>
                <w:color w:val="auto"/>
              </w:rPr>
              <w:t>Capitalized interest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$(5)</w:t>
            </w:r>
          </w:p>
        </w:tc>
      </w:tr>
      <w:tr>
        <w:trPr>
          <w:trHeight w:val="184"/>
        </w:trPr>
        <w:tc>
          <w:tcPr>
            <w:tcW w:w="9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 and amortization of deferred financing costs, net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$982</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w:t>
            </w: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$1,027</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285" w:hanging="285"/>
        <w:spacing w:after="0"/>
        <w:tabs>
          <w:tab w:leader="none" w:pos="28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our definitions of discretionary capital expenditures and sustaining capital expenditures in this </w:t>
      </w:r>
      <w:r>
        <w:rPr>
          <w:rFonts w:ascii="Times New Roman" w:cs="Times New Roman" w:eastAsia="Times New Roman" w:hAnsi="Times New Roman"/>
          <w:sz w:val="13"/>
          <w:szCs w:val="13"/>
          <w:i w:val="1"/>
          <w:iCs w:val="1"/>
          <w:color w:val="auto"/>
        </w:rPr>
        <w:t>"Non-GAAP Measures and Other Information."</w:t>
      </w:r>
    </w:p>
    <w:p>
      <w:pPr>
        <w:spacing w:after="0" w:line="16"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sustaining capital expenditures. 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discretionary capital expenditures and sustaining capital expenditures.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discretionary capital expenditures less prepaid rent additions expected to be recorded to discontinued operations related to small cells and fiber solutions.</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ind w:left="285" w:hanging="285"/>
        <w:spacing w:after="0"/>
        <w:tabs>
          <w:tab w:leader="none" w:pos="28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up-front consideration from long-term tenant contracts (commonly referred to as prepaid rent) that are amortized and recognized as revenue over the associated estimated lease term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1"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24" w:name="page25"/>
    <w:bookmarkEnd w:id="24"/>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22</w:t>
      </w:r>
    </w:p>
    <w:p>
      <w:pPr>
        <w:sectPr>
          <w:pgSz w:w="11900" w:h="16838" w:orient="portrait"/>
          <w:cols w:equalWidth="0" w:num="1">
            <w:col w:w="11265"/>
          </w:cols>
          <w:pgMar w:left="315" w:top="25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Debt Balances and Maturity Dates as of December 31, 2024</w:t>
      </w:r>
      <w:r>
        <w:rPr>
          <w:rFonts w:ascii="Times New Roman" w:cs="Times New Roman" w:eastAsia="Times New Roman" w:hAnsi="Times New Roman"/>
          <w:sz w:val="16"/>
          <w:szCs w:val="16"/>
          <w:b w:val="1"/>
          <w:bCs w:val="1"/>
          <w:color w:val="auto"/>
        </w:rPr>
        <w:t>:</w:t>
      </w:r>
    </w:p>
    <w:p>
      <w:pPr>
        <w:spacing w:after="0" w:line="187"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4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and cash equivalents</w:t>
      </w:r>
    </w:p>
    <w:p>
      <w:pPr>
        <w:spacing w:after="0" w:line="8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Senior Secured Notes, Series 2009-1, Class A-2</w:t>
      </w:r>
      <w:r>
        <w:rPr>
          <w:rFonts w:ascii="Times New Roman" w:cs="Times New Roman" w:eastAsia="Times New Roman" w:hAnsi="Times New Roman"/>
          <w:sz w:val="18"/>
          <w:szCs w:val="18"/>
          <w:color w:val="auto"/>
          <w:vertAlign w:val="superscript"/>
        </w:rPr>
        <w:t>(b)</w:t>
      </w:r>
    </w:p>
    <w:p>
      <w:pPr>
        <w:spacing w:after="0" w:line="3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Senior Secured Tower Revenue Notes, Series 2015-2</w:t>
      </w:r>
      <w:r>
        <w:rPr>
          <w:rFonts w:ascii="Times New Roman" w:cs="Times New Roman" w:eastAsia="Times New Roman" w:hAnsi="Times New Roman"/>
          <w:sz w:val="18"/>
          <w:szCs w:val="18"/>
          <w:color w:val="auto"/>
          <w:vertAlign w:val="superscript"/>
        </w:rPr>
        <w:t>(c)</w:t>
      </w:r>
    </w:p>
    <w:p>
      <w:pPr>
        <w:spacing w:after="0" w:line="3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Senior Secured Tower Revenue Notes, Series 2018-2</w:t>
      </w:r>
      <w:r>
        <w:rPr>
          <w:rFonts w:ascii="Times New Roman" w:cs="Times New Roman" w:eastAsia="Times New Roman" w:hAnsi="Times New Roman"/>
          <w:sz w:val="18"/>
          <w:szCs w:val="18"/>
          <w:color w:val="auto"/>
          <w:vertAlign w:val="superscript"/>
        </w:rPr>
        <w:t>(c)</w:t>
      </w:r>
    </w:p>
    <w:p>
      <w:pPr>
        <w:spacing w:after="0" w:line="21"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Installment purchase liabilities and finance leases</w:t>
      </w:r>
      <w:r>
        <w:rPr>
          <w:rFonts w:ascii="Times New Roman" w:cs="Times New Roman" w:eastAsia="Times New Roman" w:hAnsi="Times New Roman"/>
          <w:sz w:val="18"/>
          <w:szCs w:val="18"/>
          <w:color w:val="auto"/>
          <w:vertAlign w:val="superscript"/>
        </w:rPr>
        <w:t>(d)</w:t>
      </w:r>
    </w:p>
    <w:p>
      <w:pPr>
        <w:spacing w:after="0" w:line="9"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4"/>
          <w:szCs w:val="14"/>
          <w:b w:val="1"/>
          <w:bCs w:val="1"/>
          <w:color w:val="auto"/>
        </w:rPr>
        <w:t>Total secured debt</w:t>
      </w:r>
    </w:p>
    <w:p>
      <w:pPr>
        <w:ind w:left="25"/>
        <w:spacing w:after="0" w:line="234" w:lineRule="auto"/>
        <w:rPr>
          <w:sz w:val="20"/>
          <w:szCs w:val="20"/>
          <w:color w:val="auto"/>
        </w:rPr>
      </w:pPr>
      <w:r>
        <w:rPr>
          <w:rFonts w:ascii="Times New Roman" w:cs="Times New Roman" w:eastAsia="Times New Roman" w:hAnsi="Times New Roman"/>
          <w:sz w:val="14"/>
          <w:szCs w:val="14"/>
          <w:color w:val="auto"/>
        </w:rPr>
        <w:t>2016 Revolver</w:t>
      </w:r>
      <w:r>
        <w:rPr>
          <w:rFonts w:ascii="Times New Roman" w:cs="Times New Roman" w:eastAsia="Times New Roman" w:hAnsi="Times New Roman"/>
          <w:sz w:val="18"/>
          <w:szCs w:val="18"/>
          <w:color w:val="auto"/>
          <w:vertAlign w:val="superscript"/>
        </w:rPr>
        <w:t>(e)</w:t>
      </w:r>
    </w:p>
    <w:p>
      <w:pPr>
        <w:ind w:left="25"/>
        <w:spacing w:after="0" w:line="234" w:lineRule="auto"/>
        <w:rPr>
          <w:sz w:val="20"/>
          <w:szCs w:val="20"/>
          <w:color w:val="auto"/>
        </w:rPr>
      </w:pPr>
      <w:r>
        <w:rPr>
          <w:rFonts w:ascii="Times New Roman" w:cs="Times New Roman" w:eastAsia="Times New Roman" w:hAnsi="Times New Roman"/>
          <w:sz w:val="14"/>
          <w:szCs w:val="14"/>
          <w:color w:val="auto"/>
        </w:rPr>
        <w:t>2016 Term Loan A</w:t>
      </w:r>
      <w:r>
        <w:rPr>
          <w:rFonts w:ascii="Times New Roman" w:cs="Times New Roman" w:eastAsia="Times New Roman" w:hAnsi="Times New Roman"/>
          <w:sz w:val="18"/>
          <w:szCs w:val="18"/>
          <w:color w:val="auto"/>
          <w:vertAlign w:val="superscript"/>
        </w:rPr>
        <w:t>(f)</w:t>
      </w:r>
    </w:p>
    <w:p>
      <w:pPr>
        <w:ind w:left="25"/>
        <w:spacing w:after="0"/>
        <w:rPr>
          <w:sz w:val="20"/>
          <w:szCs w:val="20"/>
          <w:color w:val="auto"/>
        </w:rPr>
      </w:pPr>
      <w:r>
        <w:rPr>
          <w:rFonts w:ascii="Times New Roman" w:cs="Times New Roman" w:eastAsia="Times New Roman" w:hAnsi="Times New Roman"/>
          <w:sz w:val="14"/>
          <w:szCs w:val="14"/>
          <w:color w:val="auto"/>
        </w:rPr>
        <w:t>Commercial Paper Notes</w:t>
      </w:r>
      <w:r>
        <w:rPr>
          <w:rFonts w:ascii="Times New Roman" w:cs="Times New Roman" w:eastAsia="Times New Roman" w:hAnsi="Times New Roman"/>
          <w:sz w:val="18"/>
          <w:szCs w:val="18"/>
          <w:color w:val="auto"/>
          <w:vertAlign w:val="superscript"/>
        </w:rPr>
        <w:t>(g)</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1.350%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4.450%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3.700%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1.050%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2.900%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4.000%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3.650%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5.000%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3.800%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4.800%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4.300% Senior Notes</w:t>
      </w:r>
    </w:p>
    <w:p>
      <w:pPr>
        <w:spacing w:after="0" w:line="6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5.600% Senior Notes</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4.900% Senior Notes</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3.100% Senior Notes</w:t>
      </w:r>
    </w:p>
    <w:p>
      <w:pPr>
        <w:spacing w:after="0" w:line="4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3.300%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2.250%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2.100%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2.500%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5.100%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5.800%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5.200%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2.900% Senior Notes</w:t>
      </w:r>
    </w:p>
    <w:p>
      <w:pPr>
        <w:spacing w:after="0" w:line="5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4.750% Senior Notes</w:t>
      </w:r>
    </w:p>
    <w:p>
      <w:pPr>
        <w:spacing w:after="0" w:line="7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5.200% Senior Notes</w:t>
      </w:r>
    </w:p>
    <w:p>
      <w:pPr>
        <w:spacing w:after="0" w:line="6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4.000% Senior Notes</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4.150% Senior Notes</w:t>
      </w:r>
    </w:p>
    <w:p>
      <w:pPr>
        <w:spacing w:after="0" w:line="2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3.250% Senior Notes</w:t>
      </w:r>
    </w:p>
    <w:p>
      <w:pPr>
        <w:spacing w:after="0" w:line="38" w:lineRule="exact"/>
        <w:rPr>
          <w:sz w:val="20"/>
          <w:szCs w:val="20"/>
          <w:color w:val="auto"/>
        </w:rPr>
      </w:pPr>
    </w:p>
    <w:p>
      <w:pPr>
        <w:ind w:left="205"/>
        <w:spacing w:after="0"/>
        <w:rPr>
          <w:sz w:val="20"/>
          <w:szCs w:val="20"/>
          <w:color w:val="auto"/>
        </w:rPr>
      </w:pPr>
      <w:r>
        <w:rPr>
          <w:rFonts w:ascii="Times New Roman" w:cs="Times New Roman" w:eastAsia="Times New Roman" w:hAnsi="Times New Roman"/>
          <w:sz w:val="14"/>
          <w:szCs w:val="14"/>
          <w:b w:val="1"/>
          <w:bCs w:val="1"/>
          <w:color w:val="auto"/>
        </w:rPr>
        <w:t>Total unsecured debt</w:t>
      </w:r>
    </w:p>
    <w:p>
      <w:pPr>
        <w:spacing w:after="0" w:line="55" w:lineRule="exact"/>
        <w:rPr>
          <w:sz w:val="20"/>
          <w:szCs w:val="20"/>
          <w:color w:val="auto"/>
        </w:rPr>
      </w:pPr>
    </w:p>
    <w:p>
      <w:pPr>
        <w:ind w:left="245"/>
        <w:spacing w:after="0"/>
        <w:rPr>
          <w:sz w:val="20"/>
          <w:szCs w:val="20"/>
          <w:color w:val="auto"/>
        </w:rPr>
      </w:pPr>
      <w:r>
        <w:rPr>
          <w:rFonts w:ascii="Times New Roman" w:cs="Times New Roman" w:eastAsia="Times New Roman" w:hAnsi="Times New Roman"/>
          <w:sz w:val="14"/>
          <w:szCs w:val="14"/>
          <w:b w:val="1"/>
          <w:bCs w:val="1"/>
          <w:color w:val="auto"/>
        </w:rPr>
        <w:t>Net Debt</w:t>
      </w:r>
      <w:r>
        <w:rPr>
          <w:rFonts w:ascii="Times New Roman" w:cs="Times New Roman" w:eastAsia="Times New Roman" w:hAnsi="Times New Roman"/>
          <w:sz w:val="18"/>
          <w:szCs w:val="18"/>
          <w:b w:val="1"/>
          <w:bCs w:val="1"/>
          <w:color w:val="auto"/>
          <w:vertAlign w:val="superscript"/>
        </w:rPr>
        <w:t>(h)</w:t>
      </w:r>
    </w:p>
    <w:p>
      <w:pPr>
        <w:spacing w:after="0" w:line="127" w:lineRule="exact"/>
        <w:rPr>
          <w:sz w:val="20"/>
          <w:szCs w:val="20"/>
          <w:color w:val="auto"/>
        </w:rPr>
      </w:pPr>
    </w:p>
    <w:p>
      <w:pPr>
        <w:ind w:left="285" w:hanging="285"/>
        <w:spacing w:after="0"/>
        <w:tabs>
          <w:tab w:leader="none" w:pos="28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required principal amortizations.</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Senior Secured Notes, 2009-1, Class A-2 principal amortizes over a period ending in August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Face Value</w:t>
            </w:r>
            <w:r>
              <w:rPr>
                <w:rFonts w:ascii="Times New Roman" w:cs="Times New Roman" w:eastAsia="Times New Roman" w:hAnsi="Times New Roman"/>
                <w:sz w:val="18"/>
                <w:szCs w:val="18"/>
                <w:color w:val="auto"/>
                <w:vertAlign w:val="superscript"/>
              </w:rPr>
              <w:t>(a)</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Final Maturity</w:t>
            </w:r>
          </w:p>
        </w:tc>
      </w:tr>
      <w:tr>
        <w:trPr>
          <w:trHeight w:val="178"/>
        </w:trPr>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r>
      <w:tr>
        <w:trPr>
          <w:trHeight w:val="281"/>
        </w:trPr>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 2029</w:t>
            </w:r>
          </w:p>
        </w:tc>
      </w:tr>
      <w:tr>
        <w:trPr>
          <w:trHeight w:val="237"/>
        </w:trPr>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2045</w:t>
            </w:r>
          </w:p>
        </w:tc>
      </w:tr>
      <w:tr>
        <w:trPr>
          <w:trHeight w:val="237"/>
        </w:trPr>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2048</w:t>
            </w:r>
          </w:p>
        </w:tc>
      </w:tr>
      <w:tr>
        <w:trPr>
          <w:trHeight w:val="189"/>
        </w:trPr>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0439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1280" w:hanging="1257"/>
        <w:spacing w:after="0"/>
        <w:tabs>
          <w:tab w:leader="none" w:pos="128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1,782</w:t>
      </w:r>
    </w:p>
    <w:p>
      <w:pPr>
        <w:spacing w:after="0" w:line="30" w:lineRule="exact"/>
        <w:rPr>
          <w:rFonts w:ascii="Times New Roman" w:cs="Times New Roman" w:eastAsia="Times New Roman" w:hAnsi="Times New Roman"/>
          <w:sz w:val="14"/>
          <w:szCs w:val="14"/>
          <w:b w:val="1"/>
          <w:bCs w:val="1"/>
          <w:color w:val="auto"/>
        </w:rPr>
      </w:pPr>
    </w:p>
    <w:p>
      <w:pPr>
        <w:ind w:left="14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—July 2027</w:t>
      </w:r>
    </w:p>
    <w:p>
      <w:pPr>
        <w:spacing w:after="0" w:line="28"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1,117</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2027</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1,341</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Various</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2025</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900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Feb. 2026</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June 2026</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1,000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2026</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Mar. 2027</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Mar. 2027</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1,000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Sept. 2027</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1,000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Jan. 2028</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1,000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Feb. 2028</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600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Sept. 2028</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600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Feb. 2029</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June 2029</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Sept. 2029</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Nov. 2029</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2030</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1,100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Jan. 2031</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1,000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8"/>
              </w:rPr>
              <w:t>Apr. 2031</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2031</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May 2033</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Mar. 2034</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700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Sept. 2034</w:t>
            </w:r>
          </w:p>
        </w:tc>
      </w:tr>
      <w:tr>
        <w:trPr>
          <w:trHeight w:val="213"/>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95"/>
              </w:rPr>
              <w:t>1,250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8"/>
              </w:rPr>
              <w:t>Apr. 2041</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350</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May 2047</w:t>
            </w:r>
          </w:p>
        </w:tc>
      </w:tr>
      <w:tr>
        <w:trPr>
          <w:trHeight w:val="237"/>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400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w w:val="99"/>
              </w:rPr>
              <w:t>Feb. 2049</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350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Nov. 2049</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500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July 2050</w:t>
            </w:r>
          </w:p>
        </w:tc>
      </w:tr>
      <w:tr>
        <w:trPr>
          <w:trHeight w:val="189"/>
        </w:trPr>
        <w:tc>
          <w:tcPr>
            <w:tcW w:w="6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900</w:t>
            </w:r>
          </w:p>
        </w:tc>
        <w:tc>
          <w:tcPr>
            <w:tcW w:w="940" w:type="dxa"/>
            <w:vAlign w:val="bottom"/>
          </w:tcPr>
          <w:p>
            <w:pPr>
              <w:jc w:val="center"/>
              <w:ind w:left="269"/>
              <w:spacing w:after="0"/>
              <w:rPr>
                <w:sz w:val="20"/>
                <w:szCs w:val="20"/>
                <w:color w:val="auto"/>
              </w:rPr>
            </w:pPr>
            <w:r>
              <w:rPr>
                <w:rFonts w:ascii="Times New Roman" w:cs="Times New Roman" w:eastAsia="Times New Roman" w:hAnsi="Times New Roman"/>
                <w:sz w:val="14"/>
                <w:szCs w:val="14"/>
                <w:color w:val="auto"/>
              </w:rPr>
              <w:t>Jan. 2051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0439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1200" w:hanging="1177"/>
        <w:spacing w:after="0"/>
        <w:tabs>
          <w:tab w:leader="none" w:pos="120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22,458</w:t>
      </w:r>
    </w:p>
    <w:p>
      <w:pPr>
        <w:spacing w:after="0" w:line="40" w:lineRule="exact"/>
        <w:rPr>
          <w:rFonts w:ascii="Times New Roman" w:cs="Times New Roman" w:eastAsia="Times New Roman" w:hAnsi="Times New Roman"/>
          <w:sz w:val="14"/>
          <w:szCs w:val="14"/>
          <w:b w:val="1"/>
          <w:bCs w:val="1"/>
          <w:color w:val="auto"/>
        </w:rPr>
      </w:pPr>
    </w:p>
    <w:p>
      <w:pPr>
        <w:ind w:left="1200" w:hanging="1177"/>
        <w:spacing w:after="0"/>
        <w:tabs>
          <w:tab w:leader="none" w:pos="120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23,945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0439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39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10439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39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-107315</wp:posOffset>
            </wp:positionV>
            <wp:extent cx="10439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spacing w:after="0" w:line="506" w:lineRule="exact"/>
        <w:rPr>
          <w:sz w:val="20"/>
          <w:szCs w:val="20"/>
          <w:color w:val="auto"/>
        </w:rPr>
      </w:pPr>
    </w:p>
    <w:p>
      <w:pPr>
        <w:sectPr>
          <w:pgSz w:w="11900" w:h="16838" w:orient="portrait"/>
          <w:cols w:equalWidth="0" w:num="2">
            <w:col w:w="7125" w:space="720"/>
            <w:col w:w="3420"/>
          </w:cols>
          <w:pgMar w:left="315" w:top="250" w:right="319" w:bottom="1440" w:gutter="0" w:footer="0" w:header="0"/>
          <w:type w:val="continuous"/>
        </w:sectPr>
      </w:pPr>
    </w:p>
    <w:p>
      <w:pPr>
        <w:jc w:val="both"/>
        <w:ind w:left="285" w:hanging="285"/>
        <w:spacing w:after="0" w:line="260" w:lineRule="auto"/>
        <w:tabs>
          <w:tab w:leader="none" w:pos="283"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respective series of Tower Revenue Notes are not paid in full on or prior to an applicable anticipated repayment date, then the Excess Cash Flow (as defined in the indenture) of the issuers of such notes will be used to repay principal of the applicable series, and additional interest (of an additional approximately 5% per annum) will accrue on the respective series. The Senior Secured Tower Revenue Notes, 2015-2 and 2018-2 have anticipated repayment dates in 2025 and 2028, respectively. Notes are prepayable at par if voluntarily repaid within eighteen months of maturity; earlier prepayment may require additional consideration.</w:t>
      </w:r>
    </w:p>
    <w:p>
      <w:pPr>
        <w:ind w:left="285" w:hanging="285"/>
        <w:spacing w:after="0"/>
        <w:tabs>
          <w:tab w:leader="none" w:pos="28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reflects $35 million in finance lease obligations (primarily related to vehicles).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the undrawn availability under the $7.0 billion 2016 Revolver was $7.0 billion. The Company pays a commitment fee on the undrawn available amount, which as of December 31, 2024 ranged from 0.080% to 0.300%, based on the Company's senior unsecured debt rating, per annum.</w:t>
      </w:r>
    </w:p>
    <w:p>
      <w:pPr>
        <w:ind w:left="285" w:hanging="285"/>
        <w:spacing w:after="0"/>
        <w:tabs>
          <w:tab w:leader="none" w:pos="28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2016 Term Loan A principal amortizes over a period ending in July 2027.</w:t>
      </w:r>
    </w:p>
    <w:p>
      <w:pPr>
        <w:ind w:left="285" w:right="20" w:hanging="285"/>
        <w:spacing w:after="0" w:line="246" w:lineRule="auto"/>
        <w:tabs>
          <w:tab w:leader="none" w:pos="27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the Company had $0.7 billion available for issuance under its $2.0 billion unsecured commercial paper program. The maturities of the Commercial Paper Notes, when outstanding, may vary but may not exceed 397 days from the date of issue.</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further information on, and our definition and calculation of, Net Debt in this </w:t>
      </w:r>
      <w:r>
        <w:rPr>
          <w:rFonts w:ascii="Times New Roman" w:cs="Times New Roman" w:eastAsia="Times New Roman" w:hAnsi="Times New Roman"/>
          <w:sz w:val="13"/>
          <w:szCs w:val="13"/>
          <w:i w:val="1"/>
          <w:iCs w:val="1"/>
          <w:color w:val="auto"/>
        </w:rPr>
        <w:t>"Non-GAAP Measures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type w:val="continuous"/>
        </w:sectPr>
      </w:pPr>
    </w:p>
    <w:bookmarkStart w:id="25" w:name="page26"/>
    <w:bookmarkEnd w:id="25"/>
    <w:p>
      <w:pPr>
        <w:ind w:left="245"/>
        <w:spacing w:after="0"/>
        <w:tabs>
          <w:tab w:leader="none" w:pos="105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Reconciliation of Segment Adjusted Site Rental Gross Margin and Segment Adjusted Services and Other Gross Margin:</w:t>
      </w:r>
    </w:p>
    <w:p>
      <w:pPr>
        <w:sectPr>
          <w:pgSz w:w="11900" w:h="16838" w:orient="portrait"/>
          <w:cols w:equalWidth="0" w:num="1">
            <w:col w:w="11265"/>
          </w:cols>
          <w:pgMar w:left="315" w:top="250" w:right="319" w:bottom="1440" w:gutter="0" w:footer="0" w:header="0"/>
        </w:sectPr>
      </w:pPr>
    </w:p>
    <w:p>
      <w:pPr>
        <w:spacing w:after="0" w:line="36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22"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p>
      <w:pPr>
        <w:spacing w:after="0" w:line="1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p>
      <w:pPr>
        <w:spacing w:after="0" w:line="12"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services and other revenues</w:t>
      </w:r>
    </w:p>
    <w:p>
      <w:pPr>
        <w:spacing w:after="0" w:line="23"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services and other costs of operations</w:t>
      </w:r>
      <w:r>
        <w:rPr>
          <w:rFonts w:ascii="Times New Roman" w:cs="Times New Roman" w:eastAsia="Times New Roman" w:hAnsi="Times New Roman"/>
          <w:sz w:val="18"/>
          <w:szCs w:val="18"/>
          <w:color w:val="auto"/>
          <w:vertAlign w:val="superscript"/>
        </w:rPr>
        <w:t>(a)</w:t>
      </w:r>
    </w:p>
    <w:p>
      <w:pPr>
        <w:ind w:left="185"/>
        <w:spacing w:after="0" w:line="231" w:lineRule="auto"/>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p>
      <w:pPr>
        <w:spacing w:after="0" w:line="4"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(d)(e)</w:t>
      </w:r>
    </w:p>
    <w:p>
      <w:pPr>
        <w:spacing w:after="0" w:line="30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22"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p>
      <w:pPr>
        <w:spacing w:after="0" w:line="1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p>
      <w:pPr>
        <w:spacing w:after="0" w:line="12"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site rental revenues</w:t>
      </w:r>
    </w:p>
    <w:p>
      <w:pPr>
        <w:spacing w:after="0" w:line="23"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site rental other costs of operations</w:t>
      </w:r>
      <w:r>
        <w:rPr>
          <w:rFonts w:ascii="Times New Roman" w:cs="Times New Roman" w:eastAsia="Times New Roman" w:hAnsi="Times New Roman"/>
          <w:sz w:val="18"/>
          <w:szCs w:val="18"/>
          <w:color w:val="auto"/>
          <w:vertAlign w:val="superscript"/>
        </w:rPr>
        <w:t>(c)</w:t>
      </w:r>
    </w:p>
    <w:p>
      <w:pPr>
        <w:ind w:left="185"/>
        <w:spacing w:after="0" w:line="231" w:lineRule="auto"/>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p>
      <w:pPr>
        <w:spacing w:after="0" w:line="4"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(d)(e)</w:t>
      </w:r>
    </w:p>
    <w:p>
      <w:pPr>
        <w:spacing w:after="0" w:line="200" w:lineRule="exact"/>
        <w:rPr>
          <w:sz w:val="20"/>
          <w:szCs w:val="20"/>
          <w:color w:val="auto"/>
        </w:rPr>
      </w:pPr>
    </w:p>
    <w:p>
      <w:pPr>
        <w:spacing w:after="0" w:line="29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31"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p>
      <w:pPr>
        <w:spacing w:after="0" w:line="1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p>
      <w:pPr>
        <w:spacing w:after="0" w:line="12"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services and other revenues</w:t>
      </w:r>
    </w:p>
    <w:p>
      <w:pPr>
        <w:spacing w:after="0" w:line="26" w:lineRule="exact"/>
        <w:rPr>
          <w:sz w:val="20"/>
          <w:szCs w:val="20"/>
          <w:color w:val="auto"/>
        </w:rPr>
      </w:pPr>
    </w:p>
    <w:p>
      <w:pPr>
        <w:ind w:left="185"/>
        <w:spacing w:after="0"/>
        <w:rPr>
          <w:sz w:val="20"/>
          <w:szCs w:val="20"/>
          <w:color w:val="auto"/>
        </w:rPr>
      </w:pPr>
      <w:r>
        <w:rPr>
          <w:rFonts w:ascii="Times New Roman" w:cs="Times New Roman" w:eastAsia="Times New Roman" w:hAnsi="Times New Roman"/>
          <w:sz w:val="14"/>
          <w:szCs w:val="14"/>
          <w:color w:val="auto"/>
        </w:rPr>
        <w:t>Segment services and other costs of operations</w:t>
      </w:r>
      <w:r>
        <w:rPr>
          <w:rFonts w:ascii="Times New Roman" w:cs="Times New Roman" w:eastAsia="Times New Roman" w:hAnsi="Times New Roman"/>
          <w:sz w:val="18"/>
          <w:szCs w:val="18"/>
          <w:color w:val="auto"/>
          <w:vertAlign w:val="superscript"/>
        </w:rPr>
        <w:t>(a)</w:t>
      </w:r>
    </w:p>
    <w:p>
      <w:pPr>
        <w:ind w:left="185"/>
        <w:spacing w:after="0"/>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p>
      <w:pPr>
        <w:spacing w:after="0" w:line="15"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(d)(e)</w:t>
      </w:r>
    </w:p>
    <w:p>
      <w:pPr>
        <w:spacing w:after="0" w:line="287"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31"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p>
      <w:pPr>
        <w:spacing w:after="0" w:line="1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p>
      <w:pPr>
        <w:spacing w:after="0" w:line="12"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site rental revenues</w:t>
      </w:r>
    </w:p>
    <w:p>
      <w:pPr>
        <w:spacing w:after="0" w:line="26" w:lineRule="exact"/>
        <w:rPr>
          <w:sz w:val="20"/>
          <w:szCs w:val="20"/>
          <w:color w:val="auto"/>
        </w:rPr>
      </w:pPr>
    </w:p>
    <w:p>
      <w:pPr>
        <w:ind w:left="165"/>
        <w:spacing w:after="0"/>
        <w:rPr>
          <w:sz w:val="20"/>
          <w:szCs w:val="20"/>
          <w:color w:val="auto"/>
        </w:rPr>
      </w:pPr>
      <w:r>
        <w:rPr>
          <w:rFonts w:ascii="Times New Roman" w:cs="Times New Roman" w:eastAsia="Times New Roman" w:hAnsi="Times New Roman"/>
          <w:sz w:val="14"/>
          <w:szCs w:val="14"/>
          <w:color w:val="auto"/>
        </w:rPr>
        <w:t>Segment site rental other costs of operations</w:t>
      </w:r>
      <w:r>
        <w:rPr>
          <w:rFonts w:ascii="Times New Roman" w:cs="Times New Roman" w:eastAsia="Times New Roman" w:hAnsi="Times New Roman"/>
          <w:sz w:val="18"/>
          <w:szCs w:val="18"/>
          <w:color w:val="auto"/>
          <w:vertAlign w:val="superscript"/>
        </w:rPr>
        <w:t>(c)</w:t>
      </w:r>
    </w:p>
    <w:p>
      <w:pPr>
        <w:ind w:left="165"/>
        <w:spacing w:after="0"/>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p>
      <w:pPr>
        <w:spacing w:after="0" w:line="15" w:lineRule="exact"/>
        <w:rPr>
          <w:sz w:val="20"/>
          <w:szCs w:val="20"/>
          <w:color w:val="auto"/>
        </w:rPr>
      </w:pPr>
    </w:p>
    <w:p>
      <w:pPr>
        <w:ind w:left="405"/>
        <w:spacing w:after="0"/>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(d)(e)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top w:val="single" w:sz="8" w:color="auto"/>
              <w:bottom w:val="single" w:sz="8" w:color="auto"/>
            </w:tcBorders>
          </w:tcPr>
          <w:p>
            <w:pPr>
              <w:spacing w:after="0"/>
              <w:rPr>
                <w:sz w:val="15"/>
                <w:szCs w:val="15"/>
                <w:color w:val="auto"/>
              </w:rPr>
            </w:pPr>
          </w:p>
        </w:tc>
      </w:tr>
      <w:tr>
        <w:trPr>
          <w:trHeight w:val="184"/>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Fiber</w:t>
            </w:r>
          </w:p>
        </w:tc>
      </w:tr>
      <w:tr>
        <w:trPr>
          <w:trHeight w:val="179"/>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378"/>
        </w:trPr>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2"/>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2"/>
        </w:trPr>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834</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848</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9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 Months Ended December 31,</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84"/>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Fiber</w:t>
            </w:r>
          </w:p>
        </w:tc>
      </w:tr>
      <w:tr>
        <w:trPr>
          <w:trHeight w:val="179"/>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378"/>
        </w:trPr>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9"/>
        </w:trPr>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2"/>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2"/>
        </w:trPr>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23</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52"/>
        </w:trPr>
        <w:tc>
          <w:tcPr>
            <w:tcW w:w="180" w:type="dxa"/>
            <w:vAlign w:val="bottom"/>
          </w:tcPr>
          <w:p>
            <w:pPr>
              <w:spacing w:after="0"/>
              <w:rPr>
                <w:sz w:val="24"/>
                <w:szCs w:val="24"/>
                <w:color w:val="auto"/>
              </w:rPr>
            </w:pPr>
          </w:p>
        </w:tc>
        <w:tc>
          <w:tcPr>
            <w:tcW w:w="2860" w:type="dxa"/>
            <w:vAlign w:val="bottom"/>
            <w:gridSpan w:val="7"/>
          </w:tcPr>
          <w:p>
            <w:pPr>
              <w:jc w:val="center"/>
              <w:ind w:left="451"/>
              <w:spacing w:after="0"/>
              <w:rPr>
                <w:sz w:val="20"/>
                <w:szCs w:val="20"/>
                <w:color w:val="auto"/>
              </w:rPr>
            </w:pPr>
            <w:r>
              <w:rPr>
                <w:rFonts w:ascii="Times New Roman" w:cs="Times New Roman" w:eastAsia="Times New Roman" w:hAnsi="Times New Roman"/>
                <w:sz w:val="13"/>
                <w:szCs w:val="13"/>
                <w:b w:val="1"/>
                <w:bCs w:val="1"/>
                <w:color w:val="auto"/>
                <w:w w:val="97"/>
              </w:rPr>
              <w:t>Twelve Months Ended December 31,</w:t>
            </w:r>
          </w:p>
        </w:tc>
        <w:tc>
          <w:tcPr>
            <w:tcW w:w="700" w:type="dxa"/>
            <w:vAlign w:val="bottom"/>
          </w:tcPr>
          <w:p>
            <w:pPr>
              <w:spacing w:after="0"/>
              <w:rPr>
                <w:sz w:val="24"/>
                <w:szCs w:val="24"/>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84"/>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Fiber</w:t>
            </w:r>
          </w:p>
        </w:tc>
      </w:tr>
      <w:tr>
        <w:trPr>
          <w:trHeight w:val="179"/>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3,393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378"/>
        </w:trPr>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9"/>
        </w:trPr>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2"/>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2"/>
        </w:trPr>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3,308</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3,370</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1,533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2860" w:type="dxa"/>
            <w:vAlign w:val="bottom"/>
            <w:gridSpan w:val="7"/>
          </w:tcPr>
          <w:p>
            <w:pPr>
              <w:jc w:val="center"/>
              <w:ind w:left="451"/>
              <w:spacing w:after="0"/>
              <w:rPr>
                <w:sz w:val="20"/>
                <w:szCs w:val="20"/>
                <w:color w:val="auto"/>
              </w:rPr>
            </w:pPr>
            <w:r>
              <w:rPr>
                <w:rFonts w:ascii="Times New Roman" w:cs="Times New Roman" w:eastAsia="Times New Roman" w:hAnsi="Times New Roman"/>
                <w:sz w:val="13"/>
                <w:szCs w:val="13"/>
                <w:b w:val="1"/>
                <w:bCs w:val="1"/>
                <w:color w:val="auto"/>
                <w:w w:val="97"/>
              </w:rPr>
              <w:t>Twelve Months Ended December 31,</w:t>
            </w:r>
          </w:p>
        </w:tc>
        <w:tc>
          <w:tcPr>
            <w:tcW w:w="700" w:type="dxa"/>
            <w:vAlign w:val="bottom"/>
          </w:tcPr>
          <w:p>
            <w:pPr>
              <w:spacing w:after="0"/>
              <w:rPr>
                <w:sz w:val="22"/>
                <w:szCs w:val="22"/>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4"/>
        </w:trPr>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84"/>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Fiber</w:t>
            </w:r>
          </w:p>
        </w:tc>
      </w:tr>
      <w:tr>
        <w:trPr>
          <w:trHeight w:val="179"/>
        </w:trPr>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3,393</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378"/>
        </w:trPr>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r>
      <w:tr>
        <w:trPr>
          <w:trHeight w:val="189"/>
        </w:trPr>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943</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192"/>
        </w:trPr>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2"/>
        </w:trPr>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w:t>
            </w:r>
          </w:p>
        </w:tc>
        <w:tc>
          <w:tcPr>
            <w:tcW w:w="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127</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ectPr>
          <w:pgSz w:w="11900" w:h="16838" w:orient="portrait"/>
          <w:cols w:equalWidth="0" w:num="2">
            <w:col w:w="6805" w:space="720"/>
            <w:col w:w="3740"/>
          </w:cols>
          <w:pgMar w:left="315" w:top="250" w:right="319" w:bottom="1440" w:gutter="0" w:footer="0" w:header="0"/>
          <w:type w:val="continuous"/>
        </w:sectPr>
      </w:pPr>
    </w:p>
    <w:p>
      <w:pPr>
        <w:ind w:left="285" w:right="180" w:hanging="285"/>
        <w:spacing w:after="0" w:line="255" w:lineRule="auto"/>
        <w:tabs>
          <w:tab w:leader="none" w:pos="283"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services and other costs of operations for the three months ended December 31, 2024 and 2023 excludes stock-based compensation expense, net of $1 million and $2 million, respectively. Segment services and other costs of operations for the years ended December 31, 2024 and 2023 excludes stock-based compensation expense, net of $6 million and $10 million, respectively.</w:t>
      </w:r>
    </w:p>
    <w:p>
      <w:pPr>
        <w:ind w:left="285" w:right="220" w:hanging="285"/>
        <w:spacing w:after="0" w:line="237" w:lineRule="auto"/>
        <w:tabs>
          <w:tab w:leader="none" w:pos="279"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selling, general and administrative expenses for the three months ended December 31, 2024 and 2023 excludes stock-based compensation expense, net of $7 million and $11 million, respectively. Segment selling, general and administrative expenses for the years ended December 31, 2024 and 2023 excludes stock-based compensation expense, net of $44 million and $50 million, respectively.</w:t>
      </w:r>
    </w:p>
    <w:p>
      <w:pPr>
        <w:ind w:left="285" w:right="160" w:hanging="285"/>
        <w:spacing w:after="0" w:line="243" w:lineRule="auto"/>
        <w:tabs>
          <w:tab w:leader="none" w:pos="283"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site rental costs of operations for the three months ended December 31, 2024 and 2023 excludes stock-based compensation expense, net of $4 million in each year. Additionally, segment site rental costs of operations excludes prepaid lease purchase price adjustments of $4 million for each of the three months ended December 31, 2024 and 2023. Segment site rental costs of operations for the years ended December 31, 2024 and 2023 excludes stock-based compensation expense, net of $19 million in each year. Additionally, segment site rental costs of operations excludes prepaid lease purchase price adjustments of $16 million in each of the years ended December 31, 2024 and 2023.</w:t>
      </w:r>
    </w:p>
    <w:p>
      <w:pPr>
        <w:spacing w:after="0" w:line="1" w:lineRule="exact"/>
        <w:rPr>
          <w:rFonts w:ascii="Times New Roman" w:cs="Times New Roman" w:eastAsia="Times New Roman" w:hAnsi="Times New Roman"/>
          <w:sz w:val="13"/>
          <w:szCs w:val="13"/>
          <w:color w:val="auto"/>
        </w:rPr>
      </w:pPr>
    </w:p>
    <w:p>
      <w:pPr>
        <w:ind w:left="285" w:right="20" w:hanging="285"/>
        <w:spacing w:after="0" w:line="244" w:lineRule="auto"/>
        <w:tabs>
          <w:tab w:leader="none" w:pos="279"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w:t>
      </w:r>
    </w:p>
    <w:p>
      <w:pPr>
        <w:ind w:left="285" w:hanging="285"/>
        <w:spacing w:after="0"/>
        <w:tabs>
          <w:tab w:leader="none" w:pos="285"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type w:val="continuous"/>
        </w:sectPr>
      </w:pPr>
    </w:p>
    <w:bookmarkStart w:id="26" w:name="page27"/>
    <w:bookmarkEnd w:id="26"/>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Cautionary Language Regarding Forward-Looking Statements</w:t>
      </w:r>
    </w:p>
    <w:p>
      <w:pPr>
        <w:spacing w:after="0" w:line="13"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6"/>
          <w:szCs w:val="16"/>
          <w:color w:val="auto"/>
        </w:rPr>
        <w:t>This news release contains forward-looking statements and information that are based on our management's current expectations as of the date of this news release. Statements that are not historical facts are hereby identified as forward-looking statements. In addition, words such as "estimate," "see," "anticipate," "project," "plan," "intend," "believe," "expect," "likely," "predicted," "positioned," "continue," "target," "focus," and any variations of these words and similar expressions are intended to identify forward-looking statements. Such statements include our full year 2025 Outlook and plans, projections, expectations and estimates regarding (1) the value of our business model and strategy, the performance of our business and assets and the demand for our communications infrastructure, (2) the Transaction, including with respect to timing, closing, use of proceeds, and the benefits to be derived from the Transaction, (3) our updated capital framework, including benefits which may be derived therefrom, (4) dividends, including dividend levels, rates, amounts, and growth, (5) share repurchases, including share repurchase levels and amounts, (6) our debt leverage and credit rating, (7) revenue growth and its driving factors, (8) net income (loss) (including on a per share basis), (9) AFFO (including on a per share basis), (10) Adjusted EBITDA, (11) cash flows, (12) Organic Contribution to Site Rental Billings (including as Adjusted for Impact of Sprint Cancellations) and its components and growth, (13) site rental revenues and its components and growth, (14) interest expense, (15) our balance sheet, (16) the impact of Sprint Cancellations, (17) our operating and financial initiatives, (18) capital expenditures, including discretionary capital expenditures, and capital efficiency and flexibility, (19) prepaid rent additions and amortization, (20) core leasing activity and other billings, (21) cost structure, including cost savings, reductions and other resulting benefits and (22) our ability to capitalize on potential opportunities created by increasing data and connectivity demand. Any dividends remain subject to the approval of our Board of Directors which has the discretion to determine whether to declare dividends and the amounts and timing of the dividends.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forward-looking statements are subject to certain risks, uncertainties and assumptions, including prevailing market conditions and the following:</w:t>
      </w:r>
    </w:p>
    <w:p>
      <w:pPr>
        <w:spacing w:after="0" w:line="147" w:lineRule="exact"/>
        <w:rPr>
          <w:sz w:val="20"/>
          <w:szCs w:val="20"/>
          <w:color w:val="auto"/>
        </w:rPr>
      </w:pPr>
    </w:p>
    <w:p>
      <w:pPr>
        <w:jc w:val="both"/>
        <w:ind w:left="500" w:right="20" w:hanging="293"/>
        <w:spacing w:after="0" w:line="254" w:lineRule="auto"/>
        <w:tabs>
          <w:tab w:leader="none" w:pos="496"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Our business depends on the demand for our communications infrastructure (including towers, small cells and fiber), driven primarily by demand for data, and we may be adversely affected by any slowdown in such demand. Additionally, a reduction in the amount or change in the mix of network investment by our tenants may materially and adversely affect our business (including reducing demand for our communications infrastructure or services).</w:t>
      </w: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 substantial portion of our revenues is derived from a small number of tenants, and the loss, consolidation or financial instability of any of such tenants may materially decrease revenues, reduce demand for our communications infrastructure and services and impact our dividend per share growth.</w:t>
      </w:r>
    </w:p>
    <w:p>
      <w:pPr>
        <w:spacing w:after="0" w:line="1" w:lineRule="exact"/>
        <w:rPr>
          <w:rFonts w:ascii="Times New Roman" w:cs="Times New Roman" w:eastAsia="Times New Roman" w:hAnsi="Times New Roman"/>
          <w:sz w:val="16"/>
          <w:szCs w:val="16"/>
          <w:b w:val="1"/>
          <w:bCs w:val="1"/>
          <w:i w:val="1"/>
          <w:iCs w:val="1"/>
          <w:color w:val="auto"/>
        </w:rPr>
      </w:pP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expansion or development of our business, including through acquisitions, increased product offerings or other strategic opportunities, may cause disruptions in our business, which may have an adverse effect on our business, operations or financial results.</w:t>
      </w:r>
    </w:p>
    <w:p>
      <w:pPr>
        <w:spacing w:after="0" w:line="1"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lower than anticipated.</w:t>
      </w:r>
    </w:p>
    <w:p>
      <w:pPr>
        <w:spacing w:after="0" w:line="1"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timely, efficiently and safely execute on our construction projects could adversely affect our business.</w:t>
      </w:r>
    </w:p>
    <w:p>
      <w:pPr>
        <w:spacing w:after="0" w:line="5"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technologies may reduce demand for our communications infrastructure or negatively impact our revenues.</w:t>
      </w:r>
    </w:p>
    <w:p>
      <w:pPr>
        <w:spacing w:after="0" w:line="5"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retain rights to our communications infrastructure, including the rights to land under our towers and the right-of-way and other agreements related to our small cells and fiber, our business may be adversely affected.</w:t>
      </w:r>
    </w:p>
    <w:p>
      <w:pPr>
        <w:spacing w:after="0" w:line="1"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services business has historically experienced significant volatility in demand, which reduces the predictability of our results.</w:t>
      </w:r>
    </w:p>
    <w:p>
      <w:pPr>
        <w:spacing w:after="0" w:line="5"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competition in our industry, we may find it more difficult to negotiate favorable rates on our new or renewing tenant contracts.</w:t>
      </w:r>
    </w:p>
    <w:p>
      <w:pPr>
        <w:spacing w:after="0" w:line="5"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wireless technologies may not deploy or be adopted by tenants as rapidly or in the manner projected.</w:t>
      </w:r>
    </w:p>
    <w:p>
      <w:pPr>
        <w:spacing w:after="0" w:line="5"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Cybersecurity breaches or other information technology disruptions could adversely affect our operations, business, and reputation.</w:t>
      </w:r>
    </w:p>
    <w:p>
      <w:pPr>
        <w:spacing w:after="0" w:line="5" w:lineRule="exact"/>
        <w:rPr>
          <w:rFonts w:ascii="Times New Roman" w:cs="Times New Roman" w:eastAsia="Times New Roman" w:hAnsi="Times New Roman"/>
          <w:sz w:val="16"/>
          <w:szCs w:val="16"/>
          <w:color w:val="auto"/>
        </w:rPr>
      </w:pPr>
    </w:p>
    <w:p>
      <w:pPr>
        <w:ind w:left="480" w:hanging="273"/>
        <w:spacing w:after="0" w:line="218" w:lineRule="auto"/>
        <w:tabs>
          <w:tab w:leader="none" w:pos="48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6"/>
          <w:szCs w:val="16"/>
          <w:color w:val="auto"/>
        </w:rPr>
        <w:t>Our business may be adversely impacted by climate-related events, natural disasters, including wildfires, and other unforeseen events.</w:t>
      </w:r>
    </w:p>
    <w:p>
      <w:pPr>
        <w:ind w:left="500" w:right="20" w:hanging="293"/>
        <w:spacing w:after="0" w:line="246" w:lineRule="auto"/>
        <w:tabs>
          <w:tab w:leader="none" w:pos="49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and disclosure of our Environmental, Social and Governance position, metrics, strategy, goals and initiatives expose us to potential litigation or regulatory action and other adverse effects to our business.</w:t>
      </w: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attract, recruit and retain qualified and experienced employees could adversely affect our business, operations and costs.</w:t>
      </w:r>
    </w:p>
    <w:p>
      <w:pPr>
        <w:spacing w:after="0" w:line="5"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management, including turnover of our top executives, could have an adverse effect on our business.</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27" w:name="page28"/>
    <w:bookmarkEnd w:id="27"/>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25</w:t>
      </w:r>
    </w:p>
    <w:p>
      <w:pPr>
        <w:spacing w:after="0" w:line="200" w:lineRule="exact"/>
        <w:rPr>
          <w:sz w:val="20"/>
          <w:szCs w:val="20"/>
          <w:color w:val="auto"/>
        </w:rPr>
      </w:pPr>
    </w:p>
    <w:p>
      <w:pPr>
        <w:spacing w:after="0" w:line="316" w:lineRule="exact"/>
        <w:rPr>
          <w:sz w:val="20"/>
          <w:szCs w:val="20"/>
          <w:color w:val="auto"/>
        </w:rPr>
      </w:pPr>
    </w:p>
    <w:p>
      <w:pPr>
        <w:ind w:left="480" w:hanging="27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that we are taking, or have completed, to restructure our business in alignment with our strategic priorities may not be as effective as anticipated.</w:t>
      </w:r>
    </w:p>
    <w:p>
      <w:pPr>
        <w:spacing w:after="0" w:line="22"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activist stockholders could impact the pursuit of our business strategies and adversely affect our results of operations, financial condition, or stock price.</w:t>
      </w:r>
    </w:p>
    <w:p>
      <w:pPr>
        <w:spacing w:after="0" w:line="5"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pendency of the sale of our Fiber business to EQT and Zayo may have an adverse effect on our business, results of operations, cash flows and financial position.</w:t>
      </w:r>
    </w:p>
    <w:p>
      <w:pPr>
        <w:spacing w:after="0" w:line="5"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the strategic Fiber Transaction is subject to the conditions contained in the Transaction agreements, including regulatory approvals, which may not be received, and separation of the Fiber business from our current operations, and if these conditions are not satisfied or waived, the transaction will not be completed.</w:t>
      </w:r>
    </w:p>
    <w:p>
      <w:pPr>
        <w:spacing w:after="0" w:line="1"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complete the planned sale of the Fiber business EQT and Zayo could have a material and adverse effect on our business, results of operations, financial condition, cash flows and stock price.</w:t>
      </w:r>
    </w:p>
    <w:p>
      <w:pPr>
        <w:spacing w:after="0" w:line="1" w:lineRule="exact"/>
        <w:rPr>
          <w:rFonts w:ascii="Times New Roman" w:cs="Times New Roman" w:eastAsia="Times New Roman" w:hAnsi="Times New Roman"/>
          <w:sz w:val="16"/>
          <w:szCs w:val="16"/>
          <w:color w:val="auto"/>
        </w:rPr>
      </w:pPr>
    </w:p>
    <w:p>
      <w:pPr>
        <w:jc w:val="both"/>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level of indebtedness could adversely affect our ability to react to changes in our business, and the terms of our debt instruments limit our ability to take a number of actions that our management might otherwise believe to be in our best interests. In addition, if we fail to comply with our covenants, our debt could be accelerated.</w:t>
      </w:r>
    </w:p>
    <w:p>
      <w:pPr>
        <w:spacing w:after="0" w:line="1" w:lineRule="exact"/>
        <w:rPr>
          <w:rFonts w:ascii="Times New Roman" w:cs="Times New Roman" w:eastAsia="Times New Roman" w:hAnsi="Times New Roman"/>
          <w:sz w:val="16"/>
          <w:szCs w:val="16"/>
          <w:color w:val="auto"/>
        </w:rPr>
      </w:pPr>
    </w:p>
    <w:p>
      <w:pPr>
        <w:jc w:val="both"/>
        <w:ind w:left="50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possibly on unfavorable terms, to meet our debt payment obligations.</w:t>
      </w:r>
    </w:p>
    <w:p>
      <w:pPr>
        <w:spacing w:after="0" w:line="1" w:lineRule="exact"/>
        <w:rPr>
          <w:rFonts w:ascii="Times New Roman" w:cs="Times New Roman" w:eastAsia="Times New Roman" w:hAnsi="Times New Roman"/>
          <w:sz w:val="16"/>
          <w:szCs w:val="16"/>
          <w:color w:val="auto"/>
        </w:rPr>
      </w:pPr>
    </w:p>
    <w:p>
      <w:pPr>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issuances of a substantial number of shares of our common stock or securities convertible into shares of our common stock may adversely affect the market price of our common stock.</w:t>
      </w:r>
    </w:p>
    <w:p>
      <w:pPr>
        <w:spacing w:after="0" w:line="1" w:lineRule="exact"/>
        <w:rPr>
          <w:rFonts w:ascii="Times New Roman" w:cs="Times New Roman" w:eastAsia="Times New Roman" w:hAnsi="Times New Roman"/>
          <w:sz w:val="16"/>
          <w:szCs w:val="16"/>
          <w:color w:val="auto"/>
        </w:rPr>
      </w:pPr>
    </w:p>
    <w:p>
      <w:pPr>
        <w:jc w:val="both"/>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provisions of our restated certificate of incorporation and second amended and restated by-laws, as amended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 w:lineRule="exact"/>
        <w:rPr>
          <w:rFonts w:ascii="Times New Roman" w:cs="Times New Roman" w:eastAsia="Times New Roman" w:hAnsi="Times New Roman"/>
          <w:sz w:val="16"/>
          <w:szCs w:val="16"/>
          <w:color w:val="auto"/>
        </w:rPr>
      </w:pPr>
    </w:p>
    <w:p>
      <w:pPr>
        <w:ind w:left="50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comply with laws or regulations which regulate our business and which may change at any time, we may be fined or even lose our right to conduct some of our business.</w:t>
      </w:r>
    </w:p>
    <w:p>
      <w:pPr>
        <w:spacing w:after="0" w:line="1" w:lineRule="exact"/>
        <w:rPr>
          <w:rFonts w:ascii="Times New Roman" w:cs="Times New Roman" w:eastAsia="Times New Roman" w:hAnsi="Times New Roman"/>
          <w:sz w:val="16"/>
          <w:szCs w:val="16"/>
          <w:color w:val="auto"/>
        </w:rPr>
      </w:pPr>
    </w:p>
    <w:p>
      <w:pPr>
        <w:jc w:val="both"/>
        <w:ind w:left="500" w:right="2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1" w:lineRule="exact"/>
        <w:rPr>
          <w:rFonts w:ascii="Times New Roman" w:cs="Times New Roman" w:eastAsia="Times New Roman" w:hAnsi="Times New Roman"/>
          <w:sz w:val="16"/>
          <w:szCs w:val="16"/>
          <w:color w:val="auto"/>
        </w:rPr>
      </w:pPr>
    </w:p>
    <w:p>
      <w:pPr>
        <w:ind w:left="50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Remaining qualified to be taxed as a REIT involves highly technical and complex provisions of the Code. Failure to remain qualified as a REIT would result in our inability to deduct dividends to stockholders when computing our taxable income, thereby increasing our tax obligations and reducing our available cash.</w:t>
      </w:r>
    </w:p>
    <w:p>
      <w:pPr>
        <w:spacing w:after="0" w:line="1" w:lineRule="exact"/>
        <w:rPr>
          <w:rFonts w:ascii="Times New Roman" w:cs="Times New Roman" w:eastAsia="Times New Roman" w:hAnsi="Times New Roman"/>
          <w:sz w:val="16"/>
          <w:szCs w:val="16"/>
          <w:color w:val="auto"/>
        </w:rPr>
      </w:pPr>
    </w:p>
    <w:p>
      <w:pPr>
        <w:ind w:left="500" w:hanging="293"/>
        <w:spacing w:after="0" w:line="246" w:lineRule="auto"/>
        <w:tabs>
          <w:tab w:leader="none" w:pos="4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 w:lineRule="exact"/>
        <w:rPr>
          <w:rFonts w:ascii="Times New Roman" w:cs="Times New Roman" w:eastAsia="Times New Roman" w:hAnsi="Times New Roman"/>
          <w:sz w:val="16"/>
          <w:szCs w:val="16"/>
          <w:color w:val="auto"/>
        </w:rPr>
      </w:pPr>
    </w:p>
    <w:p>
      <w:pPr>
        <w:ind w:left="480" w:hanging="273"/>
        <w:spacing w:after="0"/>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REIT related ownership limitations and transfer restrictions may prevent or restrict certain transfers of our capital stock.</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Should one or more of these or other risks or uncertainties materialize, or should underlying assumptions prove incorrect, actual results may vary materially from those expected. More information about potential risk factors which could affect our results is included in our filings with the SEC. 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used in this release, the term "including," and any variation thereof, means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28" w:name="page29"/>
    <w:bookmarkEnd w:id="28"/>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375920</wp:posOffset>
            </wp:positionV>
            <wp:extent cx="1397000" cy="398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CROWN CASTLE INC.</w:t>
      </w:r>
    </w:p>
    <w:p>
      <w:pPr>
        <w:ind w:left="3660"/>
        <w:spacing w:after="0" w:line="217" w:lineRule="auto"/>
        <w:rPr>
          <w:sz w:val="20"/>
          <w:szCs w:val="20"/>
          <w:color w:val="auto"/>
        </w:rPr>
      </w:pPr>
      <w:r>
        <w:rPr>
          <w:rFonts w:ascii="Times New Roman" w:cs="Times New Roman" w:eastAsia="Times New Roman" w:hAnsi="Times New Roman"/>
          <w:sz w:val="13"/>
          <w:szCs w:val="13"/>
          <w:b w:val="1"/>
          <w:bCs w:val="1"/>
          <w:color w:val="auto"/>
        </w:rPr>
        <w:t>CONDENSED CONSOLIDATED BALANCE SHEET (UNAUDITED)</w:t>
      </w:r>
    </w:p>
    <w:p>
      <w:pPr>
        <w:ind w:left="3660"/>
        <w:spacing w:after="0"/>
        <w:rPr>
          <w:sz w:val="20"/>
          <w:szCs w:val="20"/>
          <w:color w:val="auto"/>
        </w:rPr>
      </w:pPr>
      <w:r>
        <w:rPr>
          <w:rFonts w:ascii="Times New Roman" w:cs="Times New Roman" w:eastAsia="Times New Roman" w:hAnsi="Times New Roman"/>
          <w:sz w:val="17"/>
          <w:szCs w:val="17"/>
          <w:color w:val="auto"/>
        </w:rPr>
        <w:t>(Amounts in millions, except par values)</w:t>
      </w:r>
    </w:p>
    <w:p>
      <w:pPr>
        <w:sectPr>
          <w:pgSz w:w="11900" w:h="16838" w:orient="portrait"/>
          <w:cols w:equalWidth="0" w:num="1">
            <w:col w:w="11260"/>
          </w:cols>
          <w:pgMar w:left="320" w:top="25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Current assets:</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Restricted cash and cash equivalents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Receivables, net</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Prepaid expenses</w:t>
      </w:r>
    </w:p>
    <w:p>
      <w:pPr>
        <w:spacing w:after="0" w:line="28" w:lineRule="exact"/>
        <w:rPr>
          <w:sz w:val="20"/>
          <w:szCs w:val="20"/>
          <w:color w:val="auto"/>
        </w:rPr>
      </w:pPr>
    </w:p>
    <w:p>
      <w:pPr>
        <w:ind w:left="180" w:right="560"/>
        <w:spacing w:after="0" w:line="318" w:lineRule="auto"/>
        <w:rPr>
          <w:sz w:val="20"/>
          <w:szCs w:val="20"/>
          <w:color w:val="auto"/>
        </w:rPr>
      </w:pPr>
      <w:r>
        <w:rPr>
          <w:rFonts w:ascii="Times New Roman" w:cs="Times New Roman" w:eastAsia="Times New Roman" w:hAnsi="Times New Roman"/>
          <w:sz w:val="12"/>
          <w:szCs w:val="12"/>
          <w:color w:val="auto"/>
        </w:rPr>
        <w:t>Deferred site rental receivables Other current assets</w:t>
      </w:r>
    </w:p>
    <w:p>
      <w:pPr>
        <w:spacing w:after="0" w:line="1" w:lineRule="exact"/>
        <w:rPr>
          <w:sz w:val="20"/>
          <w:szCs w:val="20"/>
          <w:color w:val="auto"/>
        </w:rPr>
      </w:pPr>
    </w:p>
    <w:p>
      <w:pPr>
        <w:ind w:left="20" w:right="580" w:firstLine="461"/>
        <w:spacing w:after="0" w:line="284" w:lineRule="auto"/>
        <w:rPr>
          <w:sz w:val="20"/>
          <w:szCs w:val="20"/>
          <w:color w:val="auto"/>
        </w:rPr>
      </w:pPr>
      <w:r>
        <w:rPr>
          <w:rFonts w:ascii="Times New Roman" w:cs="Times New Roman" w:eastAsia="Times New Roman" w:hAnsi="Times New Roman"/>
          <w:sz w:val="13"/>
          <w:szCs w:val="13"/>
          <w:color w:val="auto"/>
        </w:rPr>
        <w:t>Total current assets Deferred site rental receivables Property and equipment, net Operating lease right-of-use assets Goodwill</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intangible assets, net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assets, net</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Total assets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2"/>
                <w:szCs w:val="12"/>
                <w:color w:val="auto"/>
              </w:rPr>
            </w:pPr>
          </w:p>
        </w:tc>
        <w:tc>
          <w:tcPr>
            <w:tcW w:w="12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462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2,239</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15,666</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10,085</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3,179</w:t>
            </w:r>
          </w:p>
        </w:tc>
        <w:tc>
          <w:tcPr>
            <w:tcW w:w="0" w:type="dxa"/>
            <w:vAlign w:val="bottom"/>
          </w:tcPr>
          <w:p>
            <w:pPr>
              <w:spacing w:after="0"/>
              <w:rPr>
                <w:sz w:val="1"/>
                <w:szCs w:val="1"/>
                <w:color w:val="auto"/>
              </w:rPr>
            </w:pPr>
          </w:p>
        </w:tc>
      </w:tr>
      <w:tr>
        <w:trPr>
          <w:trHeight w:val="177"/>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1"/>
        </w:trPr>
        <w:tc>
          <w:tcPr>
            <w:tcW w:w="46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4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32,736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38,527</w:t>
            </w: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-1734185</wp:posOffset>
            </wp:positionV>
            <wp:extent cx="7149465" cy="11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-1508760</wp:posOffset>
            </wp:positionV>
            <wp:extent cx="7149465" cy="112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-1283335</wp:posOffset>
            </wp:positionV>
            <wp:extent cx="7149465" cy="112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-1058545</wp:posOffset>
            </wp:positionV>
            <wp:extent cx="7149465" cy="112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-825500</wp:posOffset>
            </wp:positionV>
            <wp:extent cx="7149465" cy="112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-600075</wp:posOffset>
            </wp:positionV>
            <wp:extent cx="7149465" cy="112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-374650</wp:posOffset>
            </wp:positionV>
            <wp:extent cx="7149465" cy="112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1239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-149860</wp:posOffset>
            </wp:positionV>
            <wp:extent cx="7149465" cy="135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LIABILITIES AND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-87630</wp:posOffset>
            </wp:positionV>
            <wp:extent cx="7149465" cy="112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1239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2320" w:space="720"/>
            <w:col w:w="8220"/>
          </w:cols>
          <w:pgMar w:left="320" w:top="250" w:right="31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8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7"/>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50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71"/>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interest</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8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revenues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71"/>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r>
      <w:tr>
        <w:trPr>
          <w:trHeight w:val="18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Current maturities of debt and other obligations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w:t>
            </w:r>
          </w:p>
        </w:tc>
      </w:tr>
      <w:tr>
        <w:trPr>
          <w:trHeight w:val="171"/>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w:t>
            </w:r>
          </w:p>
        </w:tc>
      </w:tr>
      <w:tr>
        <w:trPr>
          <w:trHeight w:val="176"/>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2,585</w:t>
            </w:r>
          </w:p>
        </w:tc>
      </w:tr>
      <w:tr>
        <w:trPr>
          <w:trHeight w:val="171"/>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and other long-term obligations</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22,086</w:t>
            </w: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5,561</w:t>
            </w:r>
          </w:p>
        </w:tc>
      </w:tr>
      <w:tr>
        <w:trPr>
          <w:trHeight w:val="171"/>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w:t>
            </w:r>
          </w:p>
        </w:tc>
      </w:tr>
      <w:tr>
        <w:trPr>
          <w:trHeight w:val="176"/>
        </w:trPr>
        <w:tc>
          <w:tcPr>
            <w:tcW w:w="8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liabilities</w:t>
            </w:r>
          </w:p>
        </w:tc>
        <w:tc>
          <w:tcPr>
            <w:tcW w:w="5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32,869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32,146</w:t>
            </w:r>
          </w:p>
        </w:tc>
      </w:tr>
      <w:tr>
        <w:trPr>
          <w:trHeight w:val="151"/>
        </w:trPr>
        <w:tc>
          <w:tcPr>
            <w:tcW w:w="83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 (deficit):</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1"/>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0.01 par value; 1,200 shares authorized; shares issued and outstanding: December 31, 2024—435 and December 31, 2023—434</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18,270</w:t>
            </w:r>
          </w:p>
        </w:tc>
      </w:tr>
      <w:tr>
        <w:trPr>
          <w:trHeight w:val="171"/>
        </w:trPr>
        <w:tc>
          <w:tcPr>
            <w:tcW w:w="8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Dividends/distributions in excess of earnings</w:t>
            </w:r>
          </w:p>
        </w:tc>
        <w:tc>
          <w:tcPr>
            <w:tcW w:w="5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(11,889)</w:t>
            </w:r>
          </w:p>
        </w:tc>
      </w:tr>
      <w:tr>
        <w:trPr>
          <w:trHeight w:val="163"/>
        </w:trPr>
        <w:tc>
          <w:tcPr>
            <w:tcW w:w="8360" w:type="dxa"/>
            <w:vAlign w:val="bottom"/>
            <w:tcBorders>
              <w:bottom w:val="single" w:sz="8" w:color="CCEEFF"/>
            </w:tcBorders>
          </w:tcPr>
          <w:p>
            <w:pPr>
              <w:ind w:left="480"/>
              <w:spacing w:after="0" w:line="148" w:lineRule="exact"/>
              <w:rPr>
                <w:sz w:val="20"/>
                <w:szCs w:val="20"/>
                <w:color w:val="auto"/>
              </w:rPr>
            </w:pPr>
            <w:r>
              <w:rPr>
                <w:rFonts w:ascii="Times New Roman" w:cs="Times New Roman" w:eastAsia="Times New Roman" w:hAnsi="Times New Roman"/>
                <w:sz w:val="13"/>
                <w:szCs w:val="13"/>
                <w:color w:val="auto"/>
              </w:rPr>
              <w:t>Total equity (deficit)</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6,381</w:t>
            </w:r>
          </w:p>
        </w:tc>
      </w:tr>
      <w:tr>
        <w:trPr>
          <w:trHeight w:val="201"/>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liabilities and equity (deficit)</w:t>
            </w:r>
          </w:p>
        </w:tc>
        <w:tc>
          <w:tcPr>
            <w:tcW w:w="500" w:type="dxa"/>
            <w:vAlign w:val="bottom"/>
            <w:tcBorders>
              <w:bottom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32,736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type w:val="continuous"/>
        </w:sectPr>
      </w:pPr>
    </w:p>
    <w:bookmarkStart w:id="29" w:name="page30"/>
    <w:bookmarkEnd w:id="29"/>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375920</wp:posOffset>
            </wp:positionV>
            <wp:extent cx="1397000" cy="398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CROWN CASTLE INC.</w:t>
      </w:r>
    </w:p>
    <w:p>
      <w:pPr>
        <w:ind w:left="3660"/>
        <w:spacing w:after="0" w:line="217" w:lineRule="auto"/>
        <w:rPr>
          <w:sz w:val="20"/>
          <w:szCs w:val="20"/>
          <w:color w:val="auto"/>
        </w:rPr>
      </w:pPr>
      <w:r>
        <w:rPr>
          <w:rFonts w:ascii="Times New Roman" w:cs="Times New Roman" w:eastAsia="Times New Roman" w:hAnsi="Times New Roman"/>
          <w:sz w:val="13"/>
          <w:szCs w:val="13"/>
          <w:b w:val="1"/>
          <w:bCs w:val="1"/>
          <w:color w:val="auto"/>
        </w:rPr>
        <w:t>CONDENSED CONSOLIDATED STATEMENT OF OPERATIONS (UNAUDITED)</w:t>
      </w:r>
    </w:p>
    <w:p>
      <w:pPr>
        <w:ind w:left="3660"/>
        <w:spacing w:after="0"/>
        <w:rPr>
          <w:sz w:val="20"/>
          <w:szCs w:val="20"/>
          <w:color w:val="auto"/>
        </w:rPr>
      </w:pPr>
      <w:r>
        <w:rPr>
          <w:rFonts w:ascii="Times New Roman" w:cs="Times New Roman" w:eastAsia="Times New Roman" w:hAnsi="Times New Roman"/>
          <w:sz w:val="17"/>
          <w:szCs w:val="17"/>
          <w:color w:val="auto"/>
        </w:rPr>
        <w:t>(Amounts in millions,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340" w:type="dxa"/>
            <w:vAlign w:val="bottom"/>
          </w:tcPr>
          <w:p>
            <w:pPr>
              <w:spacing w:after="0"/>
              <w:rPr>
                <w:sz w:val="14"/>
                <w:szCs w:val="14"/>
                <w:color w:val="auto"/>
              </w:rPr>
            </w:pPr>
          </w:p>
        </w:tc>
        <w:tc>
          <w:tcPr>
            <w:tcW w:w="2480" w:type="dxa"/>
            <w:vAlign w:val="bottom"/>
            <w:gridSpan w:val="4"/>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4"/>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r>
      <w:tr>
        <w:trPr>
          <w:trHeight w:val="21"/>
        </w:trPr>
        <w:tc>
          <w:tcPr>
            <w:tcW w:w="5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4"/>
        </w:trPr>
        <w:tc>
          <w:tcPr>
            <w:tcW w:w="5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revenues:</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Site rental</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6,532</w:t>
            </w: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Services and other</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r>
      <w:tr>
        <w:trPr>
          <w:trHeight w:val="163"/>
        </w:trPr>
        <w:tc>
          <w:tcPr>
            <w:tcW w:w="5340" w:type="dxa"/>
            <w:vAlign w:val="bottom"/>
          </w:tcPr>
          <w:p>
            <w:pPr>
              <w:ind w:left="480"/>
              <w:spacing w:after="0" w:line="148" w:lineRule="exact"/>
              <w:rPr>
                <w:sz w:val="20"/>
                <w:szCs w:val="20"/>
                <w:color w:val="auto"/>
              </w:rPr>
            </w:pPr>
            <w:r>
              <w:rPr>
                <w:rFonts w:ascii="Times New Roman" w:cs="Times New Roman" w:eastAsia="Times New Roman" w:hAnsi="Times New Roman"/>
                <w:sz w:val="13"/>
                <w:szCs w:val="13"/>
                <w:color w:val="auto"/>
              </w:rPr>
              <w:t>Net revenues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6,981</w:t>
            </w:r>
          </w:p>
        </w:tc>
      </w:tr>
      <w:tr>
        <w:trPr>
          <w:trHeight w:val="18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7"/>
        </w:trPr>
        <w:tc>
          <w:tcPr>
            <w:tcW w:w="5340" w:type="dxa"/>
            <w:vAlign w:val="bottom"/>
          </w:tcPr>
          <w:p>
            <w:pPr>
              <w:ind w:left="200"/>
              <w:spacing w:after="0" w:line="178" w:lineRule="exact"/>
              <w:rPr>
                <w:sz w:val="20"/>
                <w:szCs w:val="20"/>
                <w:color w:val="auto"/>
              </w:rPr>
            </w:pPr>
            <w:r>
              <w:rPr>
                <w:rFonts w:ascii="Times New Roman" w:cs="Times New Roman" w:eastAsia="Times New Roman" w:hAnsi="Times New Roman"/>
                <w:sz w:val="13"/>
                <w:szCs w:val="13"/>
                <w:color w:val="auto"/>
              </w:rPr>
              <w:t>Costs of operations:</w:t>
            </w:r>
            <w:r>
              <w:rPr>
                <w:rFonts w:ascii="Times New Roman" w:cs="Times New Roman" w:eastAsia="Times New Roman" w:hAnsi="Times New Roman"/>
                <w:sz w:val="16"/>
                <w:szCs w:val="16"/>
                <w:color w:val="auto"/>
                <w:vertAlign w:val="superscript"/>
              </w:rPr>
              <w:t>(a)</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Site rental</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w:t>
            </w:r>
          </w:p>
        </w:tc>
      </w:tr>
      <w:tr>
        <w:trPr>
          <w:trHeight w:val="171"/>
        </w:trPr>
        <w:tc>
          <w:tcPr>
            <w:tcW w:w="5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Services and other</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 write-down charges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Acquisition and integration costs</w:t>
            </w:r>
          </w:p>
        </w:tc>
        <w:tc>
          <w:tcPr>
            <w:tcW w:w="9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Restructuring charges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Goodwill impairment charges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3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w:t>
            </w:r>
          </w:p>
        </w:tc>
      </w:tr>
      <w:tr>
        <w:trPr>
          <w:trHeight w:val="163"/>
        </w:trPr>
        <w:tc>
          <w:tcPr>
            <w:tcW w:w="53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Operating income (loss)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w:t>
            </w:r>
          </w:p>
        </w:tc>
      </w:tr>
      <w:tr>
        <w:trPr>
          <w:trHeight w:val="18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and amortization of deferred financing costs, net</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3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Income (loss) before income taxes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w:t>
            </w:r>
          </w:p>
        </w:tc>
      </w:tr>
      <w:tr>
        <w:trPr>
          <w:trHeight w:val="18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(provision) for income taxes</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46"/>
        </w:trPr>
        <w:tc>
          <w:tcPr>
            <w:tcW w:w="5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Net income (loss)</w:t>
            </w:r>
          </w:p>
        </w:tc>
        <w:tc>
          <w:tcPr>
            <w:tcW w:w="920" w:type="dxa"/>
            <w:vAlign w:val="bottom"/>
            <w:tcBorders>
              <w:bottom w:val="single" w:sz="8" w:color="auto"/>
            </w:tcBorders>
          </w:tcPr>
          <w:p>
            <w:pPr>
              <w:jc w:val="right"/>
              <w:ind w:right="77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(4,768)</w:t>
            </w:r>
          </w:p>
        </w:tc>
        <w:tc>
          <w:tcPr>
            <w:tcW w:w="100" w:type="dxa"/>
            <w:vAlign w:val="bottom"/>
          </w:tcPr>
          <w:p>
            <w:pPr>
              <w:spacing w:after="0"/>
              <w:rPr>
                <w:sz w:val="12"/>
                <w:szCs w:val="12"/>
                <w:color w:val="auto"/>
              </w:rPr>
            </w:pPr>
          </w:p>
        </w:tc>
        <w:tc>
          <w:tcPr>
            <w:tcW w:w="980" w:type="dxa"/>
            <w:vAlign w:val="bottom"/>
            <w:tcBorders>
              <w:bottom w:val="single" w:sz="8" w:color="auto"/>
            </w:tcBorders>
          </w:tcPr>
          <w:p>
            <w:pPr>
              <w:jc w:val="right"/>
              <w:ind w:right="83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(3,903)</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9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1,502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3"/>
        </w:trPr>
        <w:tc>
          <w:tcPr>
            <w:tcW w:w="5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1"/>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common share:</w:t>
            </w: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Diluted</w:t>
            </w:r>
          </w:p>
        </w:tc>
        <w:tc>
          <w:tcPr>
            <w:tcW w:w="920" w:type="dxa"/>
            <w:vAlign w:val="bottom"/>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0.83</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10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8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common shares outstanding:</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1"/>
        </w:trPr>
        <w:tc>
          <w:tcPr>
            <w:tcW w:w="53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Basic</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r>
      <w:tr>
        <w:trPr>
          <w:trHeight w:val="184"/>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Diluted</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Exclusive of depreciation, amortization and accretion shown separately.</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30" w:name="page31"/>
    <w:bookmarkEnd w:id="30"/>
    <w:p>
      <w:pPr>
        <w:ind w:left="240"/>
        <w:spacing w:after="0"/>
        <w:tabs>
          <w:tab w:leader="none" w:pos="1052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330835</wp:posOffset>
            </wp:positionV>
            <wp:extent cx="1397000" cy="398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00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auto"/>
        </w:rPr>
        <w:t>CROWN CASTLE INC.</w:t>
      </w:r>
    </w:p>
    <w:p>
      <w:pPr>
        <w:ind w:left="3660"/>
        <w:spacing w:after="0" w:line="198" w:lineRule="auto"/>
        <w:rPr>
          <w:sz w:val="20"/>
          <w:szCs w:val="20"/>
          <w:color w:val="auto"/>
        </w:rPr>
      </w:pPr>
      <w:r>
        <w:rPr>
          <w:rFonts w:ascii="Times New Roman" w:cs="Times New Roman" w:eastAsia="Times New Roman" w:hAnsi="Times New Roman"/>
          <w:sz w:val="13"/>
          <w:szCs w:val="13"/>
          <w:b w:val="1"/>
          <w:bCs w:val="1"/>
          <w:color w:val="auto"/>
        </w:rPr>
        <w:t>CONDENSED CONSOLIDATED STATEMENT OF CASH FLOWS (UNAUDITED)</w:t>
      </w:r>
    </w:p>
    <w:p>
      <w:pPr>
        <w:ind w:left="3660"/>
        <w:spacing w:after="0"/>
        <w:rPr>
          <w:sz w:val="20"/>
          <w:szCs w:val="20"/>
          <w:color w:val="auto"/>
        </w:rPr>
      </w:pPr>
      <w:r>
        <w:rPr>
          <w:rFonts w:ascii="Times New Roman" w:cs="Times New Roman" w:eastAsia="Times New Roman" w:hAnsi="Times New Roman"/>
          <w:sz w:val="17"/>
          <w:szCs w:val="17"/>
          <w:color w:val="auto"/>
        </w:rPr>
        <w:t>(In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80" w:type="dxa"/>
            <w:vAlign w:val="bottom"/>
          </w:tcPr>
          <w:p>
            <w:pPr>
              <w:spacing w:after="0"/>
              <w:rPr>
                <w:sz w:val="14"/>
                <w:szCs w:val="14"/>
                <w:color w:val="auto"/>
              </w:rPr>
            </w:pPr>
          </w:p>
        </w:tc>
        <w:tc>
          <w:tcPr>
            <w:tcW w:w="2520" w:type="dxa"/>
            <w:vAlign w:val="bottom"/>
            <w:gridSpan w:val="4"/>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4"/>
        </w:trPr>
        <w:tc>
          <w:tcPr>
            <w:tcW w:w="8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w:t>
            </w:r>
          </w:p>
        </w:tc>
        <w:tc>
          <w:tcPr>
            <w:tcW w:w="120" w:type="dxa"/>
            <w:vAlign w:val="bottom"/>
          </w:tcPr>
          <w:p>
            <w:pPr>
              <w:spacing w:after="0"/>
              <w:rPr>
                <w:sz w:val="14"/>
                <w:szCs w:val="14"/>
                <w:color w:val="auto"/>
              </w:rPr>
            </w:pP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for) operating activities: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Goodwill impairment charges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deferred financing costs and other non-cash interest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Stock-based compensation expense, net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Asset write-down charges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income tax (benefit) provision</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Restructuring, non-cash</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non-cash adjustments, net</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Changes in assets and liabilities, excluding the effects of acquisitions: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Increase (decrease) in liabilities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Decrease (increase) in assets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Net cash provided by (used for) operating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0" w:type="dxa"/>
            <w:vAlign w:val="bottom"/>
          </w:tcPr>
          <w:p>
            <w:pPr>
              <w:spacing w:after="0"/>
              <w:rPr>
                <w:sz w:val="1"/>
                <w:szCs w:val="1"/>
                <w:color w:val="auto"/>
              </w:rPr>
            </w:pPr>
          </w:p>
        </w:tc>
      </w:tr>
      <w:tr>
        <w:trPr>
          <w:trHeight w:val="151"/>
        </w:trPr>
        <w:tc>
          <w:tcPr>
            <w:tcW w:w="82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for acquisitions, net of cash acquired</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8280" w:type="dxa"/>
            <w:vAlign w:val="bottom"/>
            <w:tcBorders>
              <w:bottom w:val="single" w:sz="8" w:color="CCEEFF"/>
            </w:tcBorders>
          </w:tcPr>
          <w:p>
            <w:pPr>
              <w:ind w:left="480"/>
              <w:spacing w:after="0" w:line="148" w:lineRule="exact"/>
              <w:rPr>
                <w:sz w:val="20"/>
                <w:szCs w:val="20"/>
                <w:color w:val="auto"/>
              </w:rPr>
            </w:pPr>
            <w:r>
              <w:rPr>
                <w:rFonts w:ascii="Times New Roman" w:cs="Times New Roman" w:eastAsia="Times New Roman" w:hAnsi="Times New Roman"/>
                <w:sz w:val="13"/>
                <w:szCs w:val="13"/>
                <w:color w:val="auto"/>
              </w:rPr>
              <w:t>Net cash provided by (used for) investing activities</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0" w:type="dxa"/>
            <w:vAlign w:val="bottom"/>
          </w:tcPr>
          <w:p>
            <w:pPr>
              <w:spacing w:after="0"/>
              <w:rPr>
                <w:sz w:val="1"/>
                <w:szCs w:val="1"/>
                <w:color w:val="auto"/>
              </w:rPr>
            </w:pPr>
          </w:p>
        </w:tc>
      </w:tr>
      <w:tr>
        <w:trPr>
          <w:trHeight w:val="16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issuance of long-term debt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Principal payments on debt and other long-term obligations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and redemptions of long-term debt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Borrowings under revolving credit facility</w:t>
            </w:r>
          </w:p>
        </w:tc>
        <w:tc>
          <w:tcPr>
            <w:tcW w:w="9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3,613</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under revolving credit facility</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Net borrowings (repayments) under commercial paper program</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0" w:type="dxa"/>
            <w:vAlign w:val="bottom"/>
          </w:tcPr>
          <w:p>
            <w:pPr>
              <w:spacing w:after="0"/>
              <w:rPr>
                <w:sz w:val="1"/>
                <w:szCs w:val="1"/>
                <w:color w:val="auto"/>
              </w:rPr>
            </w:pPr>
          </w:p>
        </w:tc>
      </w:tr>
      <w:tr>
        <w:trPr>
          <w:trHeight w:val="171"/>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Payments for financing costs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common stock</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Dividends/distributions paid on common stock</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(2,723)</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Net cash provided by (used for) financing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0" w:type="dxa"/>
            <w:vAlign w:val="bottom"/>
          </w:tcPr>
          <w:p>
            <w:pPr>
              <w:spacing w:after="0"/>
              <w:rPr>
                <w:sz w:val="1"/>
                <w:szCs w:val="1"/>
                <w:color w:val="auto"/>
              </w:rPr>
            </w:pPr>
          </w:p>
        </w:tc>
      </w:tr>
      <w:tr>
        <w:trPr>
          <w:trHeight w:val="163"/>
        </w:trPr>
        <w:tc>
          <w:tcPr>
            <w:tcW w:w="82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8280" w:type="dxa"/>
            <w:vAlign w:val="bottom"/>
            <w:tcBorders>
              <w:bottom w:val="single" w:sz="8" w:color="CCEEFF"/>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Cash and cash equivalents and restricted cash and cash equivalents at beginning of period</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0" w:type="dxa"/>
            <w:vAlign w:val="bottom"/>
          </w:tcPr>
          <w:p>
            <w:pPr>
              <w:spacing w:after="0"/>
              <w:rPr>
                <w:sz w:val="1"/>
                <w:szCs w:val="1"/>
                <w:color w:val="auto"/>
              </w:rPr>
            </w:pPr>
          </w:p>
        </w:tc>
      </w:tr>
      <w:tr>
        <w:trPr>
          <w:trHeight w:val="20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and cash equivalents at end of period</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paid</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64"/>
        </w:trPr>
        <w:tc>
          <w:tcPr>
            <w:tcW w:w="82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taxes paid (refunded)</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bl>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0"/>
          </w:cols>
          <w:pgMar w:left="320" w:top="250" w:right="319" w:bottom="1440" w:gutter="0" w:footer="0" w:header="0"/>
        </w:sectPr>
      </w:pPr>
    </w:p>
    <w:bookmarkStart w:id="31" w:name="page32"/>
    <w:bookmarkEnd w:id="31"/>
    <w:p>
      <w:pPr>
        <w:ind w:left="1645"/>
        <w:spacing w:after="0"/>
        <w:tabs>
          <w:tab w:leader="none" w:pos="91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375920</wp:posOffset>
            </wp:positionV>
            <wp:extent cx="1397000" cy="398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00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25"/>
        <w:spacing w:after="0"/>
        <w:rPr>
          <w:sz w:val="20"/>
          <w:szCs w:val="20"/>
          <w:color w:val="auto"/>
        </w:rPr>
      </w:pPr>
      <w:r>
        <w:rPr>
          <w:rFonts w:ascii="Times New Roman" w:cs="Times New Roman" w:eastAsia="Times New Roman" w:hAnsi="Times New Roman"/>
          <w:sz w:val="19"/>
          <w:szCs w:val="19"/>
          <w:b w:val="1"/>
          <w:bCs w:val="1"/>
          <w:color w:val="auto"/>
        </w:rPr>
        <w:t>CROWN CASTLE INC.</w:t>
      </w:r>
    </w:p>
    <w:p>
      <w:pPr>
        <w:ind w:left="2725"/>
        <w:spacing w:after="0" w:line="217" w:lineRule="auto"/>
        <w:rPr>
          <w:sz w:val="20"/>
          <w:szCs w:val="20"/>
          <w:color w:val="auto"/>
        </w:rPr>
      </w:pPr>
      <w:r>
        <w:rPr>
          <w:rFonts w:ascii="Times New Roman" w:cs="Times New Roman" w:eastAsia="Times New Roman" w:hAnsi="Times New Roman"/>
          <w:sz w:val="13"/>
          <w:szCs w:val="13"/>
          <w:b w:val="1"/>
          <w:bCs w:val="1"/>
          <w:color w:val="auto"/>
        </w:rPr>
        <w:t>SEGMENT OPERATING RESULTS (UNAUDITED)</w:t>
      </w:r>
    </w:p>
    <w:p>
      <w:pPr>
        <w:ind w:left="2725"/>
        <w:spacing w:after="0"/>
        <w:rPr>
          <w:sz w:val="20"/>
          <w:szCs w:val="20"/>
          <w:color w:val="auto"/>
        </w:rPr>
      </w:pPr>
      <w:r>
        <w:rPr>
          <w:rFonts w:ascii="Times New Roman" w:cs="Times New Roman" w:eastAsia="Times New Roman" w:hAnsi="Times New Roman"/>
          <w:sz w:val="17"/>
          <w:szCs w:val="17"/>
          <w:color w:val="auto"/>
        </w:rPr>
        <w:t>(In millions of dollars)</w:t>
      </w:r>
    </w:p>
    <w:p>
      <w:pPr>
        <w:spacing w:after="0" w:line="326"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5"/>
          <w:szCs w:val="15"/>
          <w:b w:val="1"/>
          <w:bCs w:val="1"/>
          <w:color w:val="auto"/>
        </w:rPr>
        <w:t>SEGMENT OPERATING RESULTS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95"/>
        </w:trPr>
        <w:tc>
          <w:tcPr>
            <w:tcW w:w="34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6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02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377"/>
              <w:spacing w:after="0" w:line="135"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jc w:val="center"/>
              <w:ind w:right="357"/>
              <w:spacing w:after="0" w:line="135" w:lineRule="exact"/>
              <w:rPr>
                <w:sz w:val="20"/>
                <w:szCs w:val="20"/>
                <w:color w:val="auto"/>
              </w:rPr>
            </w:pPr>
            <w:r>
              <w:rPr>
                <w:rFonts w:ascii="Times New Roman" w:cs="Times New Roman" w:eastAsia="Times New Roman" w:hAnsi="Times New Roman"/>
                <w:sz w:val="14"/>
                <w:szCs w:val="14"/>
                <w:b w:val="1"/>
                <w:bCs w:val="1"/>
                <w:color w:val="auto"/>
                <w:w w:val="98"/>
              </w:rPr>
              <w:t>Other Non-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tcPr>
          <w:p>
            <w:pPr>
              <w:spacing w:after="0"/>
              <w:rPr>
                <w:sz w:val="12"/>
                <w:szCs w:val="12"/>
                <w:color w:val="auto"/>
              </w:rPr>
            </w:pPr>
          </w:p>
        </w:tc>
        <w:tc>
          <w:tcPr>
            <w:tcW w:w="8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40" w:type="dxa"/>
            <w:vAlign w:val="bottom"/>
            <w:gridSpan w:val="3"/>
          </w:tcPr>
          <w:p>
            <w:pPr>
              <w:jc w:val="center"/>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4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tcPr>
          <w:p>
            <w:pPr>
              <w:spacing w:after="0"/>
              <w:rPr>
                <w:sz w:val="12"/>
                <w:szCs w:val="12"/>
                <w:color w:val="auto"/>
              </w:rPr>
            </w:pPr>
          </w:p>
        </w:tc>
        <w:tc>
          <w:tcPr>
            <w:tcW w:w="8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40" w:type="dxa"/>
            <w:vAlign w:val="bottom"/>
            <w:gridSpan w:val="3"/>
          </w:tcPr>
          <w:p>
            <w:pPr>
              <w:jc w:val="center"/>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60" w:type="dxa"/>
            <w:vAlign w:val="bottom"/>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40" w:type="dxa"/>
            <w:vAlign w:val="bottom"/>
            <w:gridSpan w:val="3"/>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140" w:type="dxa"/>
            <w:vAlign w:val="bottom"/>
            <w:gridSpan w:val="3"/>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w w:val="95"/>
              </w:rPr>
              <w:t>Items</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site rental revenues</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services and other revenues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revenues</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0" w:type="dxa"/>
            <w:vAlign w:val="bottom"/>
          </w:tcPr>
          <w:p>
            <w:pPr>
              <w:spacing w:after="0"/>
              <w:rPr>
                <w:sz w:val="1"/>
                <w:szCs w:val="1"/>
                <w:color w:val="auto"/>
              </w:rPr>
            </w:pPr>
          </w:p>
        </w:tc>
      </w:tr>
      <w:tr>
        <w:trPr>
          <w:trHeight w:val="163"/>
        </w:trPr>
        <w:tc>
          <w:tcPr>
            <w:tcW w:w="34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Segment site rental costs of operations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services and other costs of operations</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69"/>
        </w:trPr>
        <w:tc>
          <w:tcPr>
            <w:tcW w:w="3440" w:type="dxa"/>
            <w:vAlign w:val="bottom"/>
            <w:tcBorders>
              <w:bottom w:val="single" w:sz="8" w:color="CCEEFF"/>
            </w:tcBorders>
          </w:tcPr>
          <w:p>
            <w:pPr>
              <w:ind w:left="20"/>
              <w:spacing w:after="0" w:line="169" w:lineRule="exact"/>
              <w:rPr>
                <w:sz w:val="20"/>
                <w:szCs w:val="20"/>
                <w:color w:val="auto"/>
              </w:rPr>
            </w:pPr>
            <w:r>
              <w:rPr>
                <w:rFonts w:ascii="Times New Roman" w:cs="Times New Roman" w:eastAsia="Times New Roman" w:hAnsi="Times New Roman"/>
                <w:sz w:val="13"/>
                <w:szCs w:val="13"/>
                <w:color w:val="auto"/>
              </w:rPr>
              <w:t>Segment costs of operations</w:t>
            </w:r>
            <w:r>
              <w:rPr>
                <w:rFonts w:ascii="Times New Roman" w:cs="Times New Roman" w:eastAsia="Times New Roman" w:hAnsi="Times New Roman"/>
                <w:sz w:val="16"/>
                <w:szCs w:val="16"/>
                <w:color w:val="auto"/>
                <w:vertAlign w:val="superscript"/>
              </w:rPr>
              <w:t>(a)(b)</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0" w:type="dxa"/>
            <w:vAlign w:val="bottom"/>
          </w:tcPr>
          <w:p>
            <w:pPr>
              <w:spacing w:after="0"/>
              <w:rPr>
                <w:sz w:val="1"/>
                <w:szCs w:val="1"/>
                <w:color w:val="auto"/>
              </w:rPr>
            </w:pPr>
          </w:p>
        </w:tc>
      </w:tr>
      <w:tr>
        <w:trPr>
          <w:trHeight w:val="169"/>
        </w:trPr>
        <w:tc>
          <w:tcPr>
            <w:tcW w:w="34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color w:val="auto"/>
              </w:rPr>
              <w:t>Segment Adjusted Site Rental Gross Margin</w:t>
            </w:r>
            <w:r>
              <w:rPr>
                <w:rFonts w:ascii="Times New Roman" w:cs="Times New Roman" w:eastAsia="Times New Roman" w:hAnsi="Times New Roman"/>
                <w:sz w:val="16"/>
                <w:szCs w:val="16"/>
                <w:color w:val="auto"/>
                <w:vertAlign w:val="superscript"/>
              </w:rPr>
              <w:t>(c)</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Segment Adjusted Services and Other Gross Margin</w:t>
            </w:r>
            <w:r>
              <w:rPr>
                <w:rFonts w:ascii="Times New Roman" w:cs="Times New Roman" w:eastAsia="Times New Roman" w:hAnsi="Times New Roman"/>
                <w:sz w:val="16"/>
                <w:szCs w:val="16"/>
                <w:color w:val="auto"/>
                <w:vertAlign w:val="superscript"/>
              </w:rPr>
              <w:t>(c)</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3"/>
                <w:szCs w:val="13"/>
                <w:color w:val="auto"/>
              </w:rPr>
              <w:t>Segment selling, general and administrative expenses</w:t>
            </w:r>
            <w:r>
              <w:rPr>
                <w:rFonts w:ascii="Times New Roman" w:cs="Times New Roman" w:eastAsia="Times New Roman" w:hAnsi="Times New Roman"/>
                <w:sz w:val="16"/>
                <w:szCs w:val="16"/>
                <w:color w:val="auto"/>
                <w:vertAlign w:val="superscript"/>
              </w:rPr>
              <w:t>(b)</w:t>
            </w: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line="169" w:lineRule="exact"/>
              <w:rPr>
                <w:sz w:val="20"/>
                <w:szCs w:val="20"/>
                <w:color w:val="auto"/>
              </w:rPr>
            </w:pPr>
            <w:r>
              <w:rPr>
                <w:rFonts w:ascii="Times New Roman" w:cs="Times New Roman" w:eastAsia="Times New Roman" w:hAnsi="Times New Roman"/>
                <w:sz w:val="13"/>
                <w:szCs w:val="13"/>
                <w:color w:val="auto"/>
              </w:rPr>
              <w:t>Segment operating profit (loss)</w:t>
            </w:r>
            <w:r>
              <w:rPr>
                <w:rFonts w:ascii="Times New Roman" w:cs="Times New Roman" w:eastAsia="Times New Roman" w:hAnsi="Times New Roman"/>
                <w:sz w:val="16"/>
                <w:szCs w:val="16"/>
                <w:color w:val="auto"/>
                <w:vertAlign w:val="superscript"/>
              </w:rPr>
              <w:t>(c)</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3"/>
                <w:szCs w:val="13"/>
                <w:color w:val="auto"/>
              </w:rPr>
              <w:t>Other selling, general and administrative expenses</w:t>
            </w:r>
            <w:r>
              <w:rPr>
                <w:rFonts w:ascii="Times New Roman" w:cs="Times New Roman" w:eastAsia="Times New Roman" w:hAnsi="Times New Roman"/>
                <w:sz w:val="16"/>
                <w:szCs w:val="16"/>
                <w:color w:val="auto"/>
                <w:vertAlign w:val="superscript"/>
              </w:rPr>
              <w:t>(b)</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Restructuring charges</w:t>
            </w:r>
            <w:r>
              <w:rPr>
                <w:rFonts w:ascii="Times New Roman" w:cs="Times New Roman" w:eastAsia="Times New Roman" w:hAnsi="Times New Roman"/>
                <w:sz w:val="16"/>
                <w:szCs w:val="16"/>
                <w:color w:val="auto"/>
                <w:vertAlign w:val="superscript"/>
              </w:rPr>
              <w:t>(d)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and amortization of deferred financing costs, net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Goodwill impairment charges</w:t>
            </w:r>
            <w:r>
              <w:rPr>
                <w:rFonts w:ascii="Times New Roman" w:cs="Times New Roman" w:eastAsia="Times New Roman" w:hAnsi="Times New Roman"/>
                <w:sz w:val="16"/>
                <w:szCs w:val="16"/>
                <w:color w:val="auto"/>
                <w:vertAlign w:val="superscript"/>
              </w:rPr>
              <w:t>(e)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8"/>
        </w:trPr>
        <w:tc>
          <w:tcPr>
            <w:tcW w:w="34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Other (income) expenses to reconcile to income (loss) before</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w:t>
            </w:r>
            <w:r>
              <w:rPr>
                <w:rFonts w:ascii="Times New Roman" w:cs="Times New Roman" w:eastAsia="Times New Roman" w:hAnsi="Times New Roman"/>
                <w:sz w:val="8"/>
                <w:szCs w:val="8"/>
                <w:color w:val="auto"/>
              </w:rPr>
              <w:t>(f)</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85" w:hanging="285"/>
        <w:spacing w:after="0"/>
        <w:tabs>
          <w:tab w:leader="none" w:pos="28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14" w:lineRule="exact"/>
        <w:rPr>
          <w:rFonts w:ascii="Times New Roman" w:cs="Times New Roman" w:eastAsia="Times New Roman" w:hAnsi="Times New Roman"/>
          <w:sz w:val="13"/>
          <w:szCs w:val="13"/>
          <w:color w:val="auto"/>
        </w:rPr>
      </w:pPr>
    </w:p>
    <w:p>
      <w:pPr>
        <w:jc w:val="both"/>
        <w:ind w:left="285" w:hanging="285"/>
        <w:spacing w:after="0"/>
        <w:tabs>
          <w:tab w:leader="none" w:pos="27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costs of operations exclude (1) stock-based compensation expense, net of $5 million and $6 million for the three months ended December 31, 2024 and 2023, respectively and (2) prepaid lease purchase price adjustments of $4 million for each of the three months ended December 31, 2024 and 2023. Segment selling, general and administrative expenses and other selling, general and administrative expenses exclude stock-based compensation expense, net of $18 million and $25 million for the three months ended December 31, 2024 and 2023, respectively.</w:t>
      </w:r>
    </w:p>
    <w:p>
      <w:pPr>
        <w:ind w:left="285" w:hanging="285"/>
        <w:spacing w:after="0" w:line="246" w:lineRule="auto"/>
        <w:tabs>
          <w:tab w:leader="none" w:pos="28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 and reconciliations of Segment Adjusted Site Rental Gross Margin and Segment Adjusted Services and Other Gross Margin to segment operating profit (loss).</w:t>
      </w:r>
    </w:p>
    <w:p>
      <w:pPr>
        <w:spacing w:after="0" w:line="1" w:lineRule="exact"/>
        <w:rPr>
          <w:rFonts w:ascii="Times New Roman" w:cs="Times New Roman" w:eastAsia="Times New Roman" w:hAnsi="Times New Roman"/>
          <w:sz w:val="13"/>
          <w:szCs w:val="13"/>
          <w:color w:val="auto"/>
        </w:rPr>
      </w:pPr>
    </w:p>
    <w:p>
      <w:pPr>
        <w:jc w:val="both"/>
        <w:ind w:left="285" w:right="20" w:hanging="285"/>
        <w:spacing w:after="0"/>
        <w:tabs>
          <w:tab w:leader="none" w:pos="279"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adjustments and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three-month period ended December 31, 2023, there were $13 million of restructuring charges related to the June 2023 Restructuring Plan.</w:t>
      </w:r>
    </w:p>
    <w:p>
      <w:pPr>
        <w:ind w:left="285" w:hanging="285"/>
        <w:spacing w:after="0"/>
        <w:tabs>
          <w:tab w:leader="none" w:pos="28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condensed consolidated statement of operations for further information.</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99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32" w:name="page33"/>
    <w:bookmarkEnd w:id="32"/>
    <w:p>
      <w:pPr>
        <w:ind w:left="1645"/>
        <w:spacing w:after="0"/>
        <w:tabs>
          <w:tab w:leader="none" w:pos="9125"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30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SEGMENT OPERATING RESULTS</w:t>
      </w:r>
    </w:p>
    <w:p>
      <w:pPr>
        <w:spacing w:after="0" w:line="25" w:lineRule="exact"/>
        <w:rPr>
          <w:sz w:val="20"/>
          <w:szCs w:val="20"/>
          <w:color w:val="auto"/>
        </w:rPr>
      </w:pPr>
    </w:p>
    <w:tbl>
      <w:tblPr>
        <w:tblLayout w:type="fixed"/>
        <w:tblInd w:w="45" w:type="dxa"/>
        <w:tblCellMar>
          <w:top w:w="0" w:type="dxa"/>
          <w:left w:w="0" w:type="dxa"/>
          <w:bottom w:w="0" w:type="dxa"/>
          <w:right w:w="0" w:type="dxa"/>
        </w:tblCellMar>
      </w:tblPr>
      <w:tr>
        <w:trPr>
          <w:trHeight w:val="195"/>
        </w:trPr>
        <w:tc>
          <w:tcPr>
            <w:tcW w:w="32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6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 2023</w:t>
            </w:r>
          </w:p>
        </w:tc>
        <w:tc>
          <w:tcPr>
            <w:tcW w:w="6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jc w:val="center"/>
              <w:ind w:right="277"/>
              <w:spacing w:after="0" w:line="135"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277"/>
              <w:spacing w:after="0" w:line="135" w:lineRule="exact"/>
              <w:rPr>
                <w:sz w:val="20"/>
                <w:szCs w:val="20"/>
                <w:color w:val="auto"/>
              </w:rPr>
            </w:pPr>
            <w:r>
              <w:rPr>
                <w:rFonts w:ascii="Times New Roman" w:cs="Times New Roman" w:eastAsia="Times New Roman" w:hAnsi="Times New Roman"/>
                <w:sz w:val="14"/>
                <w:szCs w:val="14"/>
                <w:b w:val="1"/>
                <w:bCs w:val="1"/>
                <w:color w:val="auto"/>
                <w:w w:val="98"/>
              </w:rPr>
              <w:t>Other Non-</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tcPr>
          <w:p>
            <w:pPr>
              <w:spacing w:after="0"/>
              <w:rPr>
                <w:sz w:val="12"/>
                <w:szCs w:val="12"/>
                <w:color w:val="auto"/>
              </w:rPr>
            </w:pPr>
          </w:p>
        </w:tc>
        <w:tc>
          <w:tcPr>
            <w:tcW w:w="7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Fiber</w:t>
            </w:r>
          </w:p>
        </w:tc>
        <w:tc>
          <w:tcPr>
            <w:tcW w:w="80" w:type="dxa"/>
            <w:vAlign w:val="bottom"/>
          </w:tcPr>
          <w:p>
            <w:pPr>
              <w:spacing w:after="0"/>
              <w:rPr>
                <w:sz w:val="12"/>
                <w:szCs w:val="12"/>
                <w:color w:val="auto"/>
              </w:rPr>
            </w:pPr>
          </w:p>
        </w:tc>
        <w:tc>
          <w:tcPr>
            <w:tcW w:w="1280" w:type="dxa"/>
            <w:vAlign w:val="bottom"/>
            <w:gridSpan w:val="3"/>
          </w:tcPr>
          <w:p>
            <w:pPr>
              <w:jc w:val="center"/>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tcPr>
          <w:p>
            <w:pPr>
              <w:spacing w:after="0"/>
              <w:rPr>
                <w:sz w:val="12"/>
                <w:szCs w:val="12"/>
                <w:color w:val="auto"/>
              </w:rPr>
            </w:pPr>
          </w:p>
        </w:tc>
        <w:tc>
          <w:tcPr>
            <w:tcW w:w="7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Fiber</w:t>
            </w:r>
          </w:p>
        </w:tc>
        <w:tc>
          <w:tcPr>
            <w:tcW w:w="80" w:type="dxa"/>
            <w:vAlign w:val="bottom"/>
          </w:tcPr>
          <w:p>
            <w:pPr>
              <w:spacing w:after="0"/>
              <w:rPr>
                <w:sz w:val="12"/>
                <w:szCs w:val="12"/>
                <w:color w:val="auto"/>
              </w:rPr>
            </w:pPr>
          </w:p>
        </w:tc>
        <w:tc>
          <w:tcPr>
            <w:tcW w:w="1260" w:type="dxa"/>
            <w:vAlign w:val="bottom"/>
            <w:gridSpan w:val="3"/>
          </w:tcPr>
          <w:p>
            <w:pPr>
              <w:jc w:val="center"/>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Items</w:t>
            </w: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5"/>
              </w:rPr>
              <w:t>Items</w:t>
            </w: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site rental revenues</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6,532</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services and other revenues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0" w:type="dxa"/>
            <w:vAlign w:val="bottom"/>
          </w:tcPr>
          <w:p>
            <w:pPr>
              <w:spacing w:after="0"/>
              <w:rPr>
                <w:sz w:val="1"/>
                <w:szCs w:val="1"/>
                <w:color w:val="auto"/>
              </w:rPr>
            </w:pPr>
          </w:p>
        </w:tc>
      </w:tr>
      <w:tr>
        <w:trPr>
          <w:trHeight w:val="17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revenues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6,568</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6,981</w:t>
            </w:r>
          </w:p>
        </w:tc>
        <w:tc>
          <w:tcPr>
            <w:tcW w:w="0" w:type="dxa"/>
            <w:vAlign w:val="bottom"/>
          </w:tcPr>
          <w:p>
            <w:pPr>
              <w:spacing w:after="0"/>
              <w:rPr>
                <w:sz w:val="1"/>
                <w:szCs w:val="1"/>
                <w:color w:val="auto"/>
              </w:rPr>
            </w:pPr>
          </w:p>
        </w:tc>
      </w:tr>
      <w:tr>
        <w:trPr>
          <w:trHeight w:val="163"/>
        </w:trPr>
        <w:tc>
          <w:tcPr>
            <w:tcW w:w="32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Segment site rental costs of operations</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0" w:type="dxa"/>
            <w:vAlign w:val="bottom"/>
          </w:tcPr>
          <w:p>
            <w:pPr>
              <w:spacing w:after="0"/>
              <w:rPr>
                <w:sz w:val="1"/>
                <w:szCs w:val="1"/>
                <w:color w:val="auto"/>
              </w:rPr>
            </w:pPr>
          </w:p>
        </w:tc>
      </w:tr>
      <w:tr>
        <w:trPr>
          <w:trHeight w:val="18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Segment services and other costs of operations</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tcPr>
          <w:p>
            <w:pPr>
              <w:ind w:left="20"/>
              <w:spacing w:after="0" w:line="169" w:lineRule="exact"/>
              <w:rPr>
                <w:sz w:val="20"/>
                <w:szCs w:val="20"/>
                <w:color w:val="auto"/>
              </w:rPr>
            </w:pPr>
            <w:r>
              <w:rPr>
                <w:rFonts w:ascii="Times New Roman" w:cs="Times New Roman" w:eastAsia="Times New Roman" w:hAnsi="Times New Roman"/>
                <w:sz w:val="13"/>
                <w:szCs w:val="13"/>
                <w:color w:val="auto"/>
              </w:rPr>
              <w:t>Segment costs of operations</w:t>
            </w:r>
            <w:r>
              <w:rPr>
                <w:rFonts w:ascii="Times New Roman" w:cs="Times New Roman" w:eastAsia="Times New Roman" w:hAnsi="Times New Roman"/>
                <w:sz w:val="16"/>
                <w:szCs w:val="16"/>
                <w:color w:val="auto"/>
                <w:vertAlign w:val="superscript"/>
              </w:rPr>
              <w:t>(a)(b)</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3"/>
                <w:szCs w:val="13"/>
                <w:color w:val="auto"/>
              </w:rPr>
              <w:t>Segment Adjusted Site Rental Gross Margin</w:t>
            </w:r>
            <w:r>
              <w:rPr>
                <w:rFonts w:ascii="Times New Roman" w:cs="Times New Roman" w:eastAsia="Times New Roman" w:hAnsi="Times New Roman"/>
                <w:sz w:val="16"/>
                <w:szCs w:val="16"/>
                <w:color w:val="auto"/>
                <w:vertAlign w:val="superscript"/>
              </w:rPr>
              <w:t>(c)</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4,903</w:t>
            </w:r>
          </w:p>
        </w:tc>
        <w:tc>
          <w:tcPr>
            <w:tcW w:w="0" w:type="dxa"/>
            <w:vAlign w:val="bottom"/>
          </w:tcPr>
          <w:p>
            <w:pPr>
              <w:spacing w:after="0"/>
              <w:rPr>
                <w:sz w:val="1"/>
                <w:szCs w:val="1"/>
                <w:color w:val="auto"/>
              </w:rPr>
            </w:pPr>
          </w:p>
        </w:tc>
      </w:tr>
      <w:tr>
        <w:trPr>
          <w:trHeight w:val="177"/>
        </w:trPr>
        <w:tc>
          <w:tcPr>
            <w:tcW w:w="324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Segment Adjusted Services and Other Gross Margin</w:t>
            </w:r>
            <w:r>
              <w:rPr>
                <w:rFonts w:ascii="Times New Roman" w:cs="Times New Roman" w:eastAsia="Times New Roman" w:hAnsi="Times New Roman"/>
                <w:sz w:val="16"/>
                <w:szCs w:val="16"/>
                <w:color w:val="auto"/>
                <w:vertAlign w:val="superscript"/>
              </w:rPr>
              <w:t>(c)</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77"/>
        </w:trPr>
        <w:tc>
          <w:tcPr>
            <w:tcW w:w="32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3"/>
                <w:szCs w:val="13"/>
                <w:color w:val="auto"/>
              </w:rPr>
              <w:t>Segment selling, general and administrative expenses</w:t>
            </w:r>
            <w:r>
              <w:rPr>
                <w:rFonts w:ascii="Times New Roman" w:cs="Times New Roman" w:eastAsia="Times New Roman" w:hAnsi="Times New Roman"/>
                <w:sz w:val="16"/>
                <w:szCs w:val="16"/>
                <w:color w:val="auto"/>
                <w:vertAlign w:val="superscript"/>
              </w:rPr>
              <w:t>(b)</w:t>
            </w: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line="168" w:lineRule="exact"/>
              <w:rPr>
                <w:sz w:val="20"/>
                <w:szCs w:val="20"/>
                <w:color w:val="auto"/>
              </w:rPr>
            </w:pPr>
            <w:r>
              <w:rPr>
                <w:rFonts w:ascii="Times New Roman" w:cs="Times New Roman" w:eastAsia="Times New Roman" w:hAnsi="Times New Roman"/>
                <w:sz w:val="13"/>
                <w:szCs w:val="13"/>
                <w:color w:val="auto"/>
              </w:rPr>
              <w:t>Segment operating profit (loss)</w:t>
            </w:r>
            <w:r>
              <w:rPr>
                <w:rFonts w:ascii="Times New Roman" w:cs="Times New Roman" w:eastAsia="Times New Roman" w:hAnsi="Times New Roman"/>
                <w:sz w:val="16"/>
                <w:szCs w:val="16"/>
                <w:color w:val="auto"/>
                <w:vertAlign w:val="superscript"/>
              </w:rPr>
              <w:t>(c)</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5" w:type="dxa"/>
        <w:tblCellMar>
          <w:top w:w="0" w:type="dxa"/>
          <w:left w:w="0" w:type="dxa"/>
          <w:bottom w:w="0" w:type="dxa"/>
          <w:right w:w="0" w:type="dxa"/>
        </w:tblCellMar>
      </w:tblPr>
      <w:tr>
        <w:trPr>
          <w:trHeight w:val="179"/>
        </w:trPr>
        <w:tc>
          <w:tcPr>
            <w:tcW w:w="41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3"/>
                <w:szCs w:val="13"/>
                <w:color w:val="auto"/>
              </w:rPr>
              <w:t>Other selling, general and administrative expenses</w:t>
            </w:r>
            <w:r>
              <w:rPr>
                <w:rFonts w:ascii="Times New Roman" w:cs="Times New Roman" w:eastAsia="Times New Roman" w:hAnsi="Times New Roman"/>
                <w:sz w:val="16"/>
                <w:szCs w:val="16"/>
                <w:color w:val="auto"/>
                <w:vertAlign w:val="superscript"/>
              </w:rPr>
              <w:t>(b)</w:t>
            </w:r>
          </w:p>
        </w:tc>
        <w:tc>
          <w:tcPr>
            <w:tcW w:w="1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348</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333</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 net</w:t>
            </w:r>
          </w:p>
        </w:tc>
        <w:tc>
          <w:tcPr>
            <w:tcW w:w="138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131</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4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157</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8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3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1,738</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24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1,754</w:t>
            </w: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0" w:type="dxa"/>
            <w:vAlign w:val="bottom"/>
          </w:tcPr>
          <w:p>
            <w:pPr>
              <w:spacing w:after="0"/>
              <w:rPr>
                <w:sz w:val="1"/>
                <w:szCs w:val="1"/>
                <w:color w:val="auto"/>
              </w:rPr>
            </w:pPr>
          </w:p>
        </w:tc>
      </w:tr>
      <w:tr>
        <w:trPr>
          <w:trHeight w:val="177"/>
        </w:trPr>
        <w:tc>
          <w:tcPr>
            <w:tcW w:w="418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Restructuring charges</w:t>
            </w:r>
            <w:r>
              <w:rPr>
                <w:rFonts w:ascii="Times New Roman" w:cs="Times New Roman" w:eastAsia="Times New Roman" w:hAnsi="Times New Roman"/>
                <w:sz w:val="16"/>
                <w:szCs w:val="16"/>
                <w:color w:val="auto"/>
                <w:vertAlign w:val="superscript"/>
              </w:rPr>
              <w:t>(d)</w:t>
            </w:r>
          </w:p>
        </w:tc>
        <w:tc>
          <w:tcPr>
            <w:tcW w:w="13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40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85</w:t>
            </w: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18"/>
        </w:trPr>
        <w:tc>
          <w:tcPr>
            <w:tcW w:w="41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Interest expense and amortization of deferred financing costs,</w:t>
            </w:r>
          </w:p>
        </w:tc>
        <w:tc>
          <w:tcPr>
            <w:tcW w:w="13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932</w:t>
            </w:r>
          </w:p>
        </w:tc>
        <w:tc>
          <w:tcPr>
            <w:tcW w:w="3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24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850</w:t>
            </w:r>
          </w:p>
        </w:tc>
        <w:tc>
          <w:tcPr>
            <w:tcW w:w="3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77"/>
        </w:trPr>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w:t>
            </w:r>
          </w:p>
        </w:tc>
        <w:tc>
          <w:tcPr>
            <w:tcW w:w="13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80" w:type="dxa"/>
            <w:vAlign w:val="bottom"/>
          </w:tcPr>
          <w:p>
            <w:pPr>
              <w:ind w:left="20"/>
              <w:spacing w:after="0" w:line="178" w:lineRule="exact"/>
              <w:rPr>
                <w:sz w:val="20"/>
                <w:szCs w:val="20"/>
                <w:color w:val="auto"/>
              </w:rPr>
            </w:pPr>
            <w:r>
              <w:rPr>
                <w:rFonts w:ascii="Times New Roman" w:cs="Times New Roman" w:eastAsia="Times New Roman" w:hAnsi="Times New Roman"/>
                <w:sz w:val="13"/>
                <w:szCs w:val="13"/>
                <w:color w:val="auto"/>
              </w:rPr>
              <w:t>Goodwill impairment charges</w:t>
            </w:r>
            <w:r>
              <w:rPr>
                <w:rFonts w:ascii="Times New Roman" w:cs="Times New Roman" w:eastAsia="Times New Roman" w:hAnsi="Times New Roman"/>
                <w:sz w:val="16"/>
                <w:szCs w:val="16"/>
                <w:color w:val="auto"/>
                <w:vertAlign w:val="superscript"/>
              </w:rPr>
              <w:t>(e)</w:t>
            </w:r>
          </w:p>
        </w:tc>
        <w:tc>
          <w:tcPr>
            <w:tcW w:w="13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4,958</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2400" w:type="dxa"/>
            <w:vAlign w:val="bottom"/>
          </w:tcPr>
          <w:p>
            <w:pPr>
              <w:spacing w:after="0"/>
              <w:rPr>
                <w:sz w:val="15"/>
                <w:szCs w:val="15"/>
                <w:color w:val="auto"/>
              </w:rPr>
            </w:pPr>
          </w:p>
        </w:tc>
        <w:tc>
          <w:tcPr>
            <w:tcW w:w="102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8"/>
        </w:trPr>
        <w:tc>
          <w:tcPr>
            <w:tcW w:w="418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Other (income) expenses to reconcile to income (loss) before</w:t>
            </w:r>
          </w:p>
        </w:tc>
        <w:tc>
          <w:tcPr>
            <w:tcW w:w="13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173</w:t>
            </w:r>
          </w:p>
        </w:tc>
        <w:tc>
          <w:tcPr>
            <w:tcW w:w="3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4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41</w:t>
            </w:r>
          </w:p>
        </w:tc>
        <w:tc>
          <w:tcPr>
            <w:tcW w:w="3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7"/>
        </w:trPr>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w:t>
            </w:r>
            <w:r>
              <w:rPr>
                <w:rFonts w:ascii="Times New Roman" w:cs="Times New Roman" w:eastAsia="Times New Roman" w:hAnsi="Times New Roman"/>
                <w:sz w:val="8"/>
                <w:szCs w:val="8"/>
                <w:color w:val="auto"/>
              </w:rPr>
              <w:t>(f)</w:t>
            </w:r>
          </w:p>
        </w:tc>
        <w:tc>
          <w:tcPr>
            <w:tcW w:w="13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(3,879)</w:t>
            </w:r>
          </w:p>
        </w:tc>
        <w:tc>
          <w:tcPr>
            <w:tcW w:w="2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85" w:hanging="285"/>
        <w:spacing w:after="0"/>
        <w:tabs>
          <w:tab w:leader="none" w:pos="28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14" w:lineRule="exact"/>
        <w:rPr>
          <w:rFonts w:ascii="Times New Roman" w:cs="Times New Roman" w:eastAsia="Times New Roman" w:hAnsi="Times New Roman"/>
          <w:sz w:val="13"/>
          <w:szCs w:val="13"/>
          <w:color w:val="auto"/>
        </w:rPr>
      </w:pPr>
    </w:p>
    <w:p>
      <w:pPr>
        <w:jc w:val="both"/>
        <w:ind w:left="285" w:hanging="285"/>
        <w:spacing w:after="0"/>
        <w:tabs>
          <w:tab w:leader="none" w:pos="279"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costs of operations exclude (1) stock-based compensation expense, net of $25 million and $29 million for the twelve months ended December 31, 2024 and 2023, respectively, and (2) prepaid lease purchase price adjustments of $16 million for each of the twelve-months ended December 31, 2024 and 2023. Segment selling, general and administrative expenses and other selling, general and administrative expenses exclude stock-based compensation expense, net of $106 million and $128 million for the twelve-months ended December 31, 2024 and 2023, respectively.</w:t>
      </w:r>
    </w:p>
    <w:p>
      <w:pPr>
        <w:ind w:left="285" w:hanging="285"/>
        <w:spacing w:after="0" w:line="246" w:lineRule="auto"/>
        <w:tabs>
          <w:tab w:leader="none" w:pos="28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 and reconciliations of Segment Adjusted Site Rental Gross Margin and Segment Adjusted Services and Other Gross Margin to segment operating profit (loss).</w:t>
      </w:r>
    </w:p>
    <w:p>
      <w:pPr>
        <w:spacing w:after="0" w:line="1" w:lineRule="exact"/>
        <w:rPr>
          <w:rFonts w:ascii="Times New Roman" w:cs="Times New Roman" w:eastAsia="Times New Roman" w:hAnsi="Times New Roman"/>
          <w:sz w:val="13"/>
          <w:szCs w:val="13"/>
          <w:color w:val="auto"/>
        </w:rPr>
      </w:pPr>
    </w:p>
    <w:p>
      <w:pPr>
        <w:jc w:val="both"/>
        <w:ind w:left="285" w:hanging="285"/>
        <w:spacing w:after="0"/>
        <w:tabs>
          <w:tab w:leader="none" w:pos="279"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full year ended December 31, 2024, there were $9 million and $100 million of restructuring charges related to the July 2023 Restructuring Plan and the June 2024 Restructuring Plan, respectively. For the full year ended December 31, 2023, there were $85 million of restructuring charges related to the June 2023 Restructuring Plan.</w:t>
      </w:r>
    </w:p>
    <w:p>
      <w:pPr>
        <w:ind w:left="285" w:hanging="285"/>
        <w:spacing w:after="0"/>
        <w:tabs>
          <w:tab w:leader="none" w:pos="28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condensed consolidated statement of operations for further information.</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49" w:lineRule="exact"/>
        <w:rPr>
          <w:sz w:val="20"/>
          <w:szCs w:val="20"/>
          <w:color w:val="auto"/>
        </w:rPr>
      </w:pPr>
    </w:p>
    <w:p>
      <w:pPr>
        <w:ind w:left="9905"/>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1265"/>
          </w:cols>
          <w:pgMar w:left="315" w:top="250" w:right="319" w:bottom="1440" w:gutter="0" w:footer="0" w:header="0"/>
        </w:sectPr>
      </w:pPr>
    </w:p>
    <w:bookmarkStart w:id="33" w:name="page34"/>
    <w:bookmarkEnd w:id="33"/>
    <w:p>
      <w:pPr>
        <w:ind w:left="93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1073785</wp:posOffset>
            </wp:positionV>
            <wp:extent cx="2290445" cy="645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0445" cy="64579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2312670</wp:posOffset>
            </wp:positionV>
            <wp:extent cx="5106670" cy="268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06670" cy="2688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20"/>
        <w:spacing w:after="0"/>
        <w:rPr>
          <w:sz w:val="20"/>
          <w:szCs w:val="20"/>
          <w:color w:val="auto"/>
        </w:rPr>
      </w:pPr>
      <w:r>
        <w:rPr>
          <w:rFonts w:ascii="Arial" w:cs="Arial" w:eastAsia="Arial" w:hAnsi="Arial"/>
          <w:sz w:val="28"/>
          <w:szCs w:val="28"/>
          <w:color w:val="520B90"/>
        </w:rPr>
        <w:t>Supplemental Information Package</w:t>
      </w:r>
    </w:p>
    <w:p>
      <w:pPr>
        <w:spacing w:after="0" w:line="49" w:lineRule="exact"/>
        <w:rPr>
          <w:sz w:val="20"/>
          <w:szCs w:val="20"/>
          <w:color w:val="auto"/>
        </w:rPr>
      </w:pPr>
    </w:p>
    <w:p>
      <w:pPr>
        <w:jc w:val="center"/>
        <w:ind w:right="1120"/>
        <w:spacing w:after="0"/>
        <w:rPr>
          <w:sz w:val="20"/>
          <w:szCs w:val="20"/>
          <w:color w:val="auto"/>
        </w:rPr>
      </w:pPr>
      <w:r>
        <w:rPr>
          <w:rFonts w:ascii="Arial" w:cs="Arial" w:eastAsia="Arial" w:hAnsi="Arial"/>
          <w:sz w:val="28"/>
          <w:szCs w:val="28"/>
          <w:color w:val="520B90"/>
        </w:rPr>
        <w:t>and Non-GAAP Reconciliations</w:t>
      </w:r>
    </w:p>
    <w:p>
      <w:pPr>
        <w:spacing w:after="0" w:line="127" w:lineRule="exact"/>
        <w:rPr>
          <w:sz w:val="20"/>
          <w:szCs w:val="20"/>
          <w:color w:val="auto"/>
        </w:rPr>
      </w:pPr>
    </w:p>
    <w:p>
      <w:pPr>
        <w:ind w:left="2720"/>
        <w:spacing w:after="0"/>
        <w:rPr>
          <w:sz w:val="20"/>
          <w:szCs w:val="20"/>
          <w:color w:val="auto"/>
        </w:rPr>
      </w:pPr>
      <w:r>
        <w:rPr>
          <w:rFonts w:ascii="Arial" w:cs="Arial" w:eastAsia="Arial" w:hAnsi="Arial"/>
          <w:sz w:val="22"/>
          <w:szCs w:val="22"/>
          <w:color w:val="520B90"/>
        </w:rPr>
        <w:t>Fourth Quarter • December 31, 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CrownCastle.com</w:t>
      </w:r>
    </w:p>
    <w:p>
      <w:pPr>
        <w:sectPr>
          <w:pgSz w:w="11900" w:h="16838" w:orient="portrait"/>
          <w:cols w:equalWidth="0" w:num="1">
            <w:col w:w="10140"/>
          </w:cols>
          <w:pgMar w:left="1440" w:top="12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4"/>
        </w:trPr>
        <w:tc>
          <w:tcPr>
            <w:tcW w:w="4800" w:type="dxa"/>
            <w:vAlign w:val="bottom"/>
          </w:tcPr>
          <w:p>
            <w:pPr>
              <w:spacing w:after="0"/>
              <w:rPr>
                <w:sz w:val="13"/>
                <w:szCs w:val="13"/>
                <w:color w:val="auto"/>
              </w:rPr>
            </w:pPr>
          </w:p>
        </w:tc>
        <w:tc>
          <w:tcPr>
            <w:tcW w:w="6460" w:type="dxa"/>
            <w:vAlign w:val="bottom"/>
          </w:tcPr>
          <w:p>
            <w:pPr>
              <w:jc w:val="center"/>
              <w:ind w:right="4756"/>
              <w:spacing w:after="0"/>
              <w:rPr>
                <w:sz w:val="20"/>
                <w:szCs w:val="20"/>
                <w:color w:val="auto"/>
              </w:rPr>
            </w:pPr>
            <w:r>
              <w:rPr>
                <w:rFonts w:ascii="Times New Roman" w:cs="Times New Roman" w:eastAsia="Times New Roman" w:hAnsi="Times New Roman"/>
                <w:sz w:val="13"/>
                <w:szCs w:val="13"/>
                <w:color w:val="auto"/>
                <w:w w:val="97"/>
              </w:rPr>
              <w:t>Crown Castle Inc.</w:t>
            </w:r>
          </w:p>
        </w:tc>
      </w:tr>
      <w:tr>
        <w:trPr>
          <w:trHeight w:val="164"/>
        </w:trPr>
        <w:tc>
          <w:tcPr>
            <w:tcW w:w="4800" w:type="dxa"/>
            <w:vAlign w:val="bottom"/>
          </w:tcPr>
          <w:p>
            <w:pPr>
              <w:spacing w:after="0"/>
              <w:rPr>
                <w:sz w:val="14"/>
                <w:szCs w:val="14"/>
                <w:color w:val="auto"/>
              </w:rPr>
            </w:pPr>
          </w:p>
        </w:tc>
        <w:tc>
          <w:tcPr>
            <w:tcW w:w="6460" w:type="dxa"/>
            <w:vAlign w:val="bottom"/>
          </w:tcPr>
          <w:p>
            <w:pPr>
              <w:jc w:val="center"/>
              <w:ind w:right="4756"/>
              <w:spacing w:after="0"/>
              <w:rPr>
                <w:sz w:val="20"/>
                <w:szCs w:val="20"/>
                <w:color w:val="auto"/>
              </w:rPr>
            </w:pPr>
            <w:r>
              <w:rPr>
                <w:rFonts w:ascii="Times New Roman" w:cs="Times New Roman" w:eastAsia="Times New Roman" w:hAnsi="Times New Roman"/>
                <w:sz w:val="13"/>
                <w:szCs w:val="13"/>
                <w:color w:val="auto"/>
                <w:w w:val="97"/>
              </w:rPr>
              <w:t>Fourth Quarter 2024</w:t>
            </w:r>
          </w:p>
        </w:tc>
      </w:tr>
      <w:tr>
        <w:trPr>
          <w:trHeight w:val="846"/>
        </w:trPr>
        <w:tc>
          <w:tcPr>
            <w:tcW w:w="48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jc w:val="center"/>
              <w:ind w:right="4756"/>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181"/>
        </w:trPr>
        <w:tc>
          <w:tcPr>
            <w:tcW w:w="4800" w:type="dxa"/>
            <w:vAlign w:val="bottom"/>
            <w:tcBorders>
              <w:bottom w:val="single" w:sz="8" w:color="auto"/>
            </w:tcBorders>
            <w:shd w:val="clear" w:color="auto" w:fill="D9D9D9"/>
          </w:tcPr>
          <w:p>
            <w:pPr>
              <w:spacing w:after="0"/>
              <w:rPr>
                <w:sz w:val="15"/>
                <w:szCs w:val="15"/>
                <w:color w:val="auto"/>
              </w:rPr>
            </w:pPr>
          </w:p>
        </w:tc>
        <w:tc>
          <w:tcPr>
            <w:tcW w:w="6460" w:type="dxa"/>
            <w:vAlign w:val="bottom"/>
            <w:tcBorders>
              <w:bottom w:val="single" w:sz="8" w:color="auto"/>
            </w:tcBorders>
            <w:shd w:val="clear" w:color="auto" w:fill="D9D9D9"/>
          </w:tcPr>
          <w:p>
            <w:pPr>
              <w:ind w:left="5000"/>
              <w:spacing w:after="0"/>
              <w:rPr>
                <w:sz w:val="20"/>
                <w:szCs w:val="20"/>
                <w:color w:val="auto"/>
              </w:rPr>
            </w:pPr>
            <w:r>
              <w:rPr>
                <w:rFonts w:ascii="Times New Roman" w:cs="Times New Roman" w:eastAsia="Times New Roman" w:hAnsi="Times New Roman"/>
                <w:sz w:val="14"/>
                <w:szCs w:val="14"/>
                <w:color w:val="auto"/>
              </w:rPr>
              <w:t>Page</w:t>
            </w:r>
          </w:p>
        </w:tc>
      </w:tr>
      <w:tr>
        <w:trPr>
          <w:trHeight w:val="165"/>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Company Overview</w:t>
            </w:r>
          </w:p>
        </w:tc>
        <w:tc>
          <w:tcPr>
            <w:tcW w:w="6460" w:type="dxa"/>
            <w:vAlign w:val="bottom"/>
          </w:tcPr>
          <w:p>
            <w:pPr>
              <w:spacing w:after="0"/>
              <w:rPr>
                <w:sz w:val="14"/>
                <w:szCs w:val="14"/>
                <w:color w:val="auto"/>
              </w:rPr>
            </w:pP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Company Profile</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3</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Strategy</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rPr>
              <w:t>3</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General Company Information</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4</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Asset Portfolio Footprint</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rPr>
              <w:t>4</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Historical Common Stock Data</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Annualized Fourth Quarter Dividends Per Share</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rPr>
              <w:t>5</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Executive Management Team</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5</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Board of Directors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rPr>
              <w:t>6</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Research Coverage</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6</w:t>
            </w:r>
          </w:p>
        </w:tc>
      </w:tr>
      <w:tr>
        <w:trPr>
          <w:trHeight w:val="171"/>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Outlook</w:t>
            </w:r>
          </w:p>
        </w:tc>
        <w:tc>
          <w:tcPr>
            <w:tcW w:w="6460" w:type="dxa"/>
            <w:vAlign w:val="bottom"/>
          </w:tcPr>
          <w:p>
            <w:pPr>
              <w:spacing w:after="0"/>
              <w:rPr>
                <w:sz w:val="14"/>
                <w:szCs w:val="14"/>
                <w:color w:val="auto"/>
              </w:rPr>
            </w:pP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Outlook</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7</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Outlook for Components of Changes in Site Rental Revenues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rPr>
              <w:t>8</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Outlook for Components of Interest Expense</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8</w:t>
            </w:r>
          </w:p>
        </w:tc>
      </w:tr>
      <w:tr>
        <w:trPr>
          <w:trHeight w:val="171"/>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Consolidated Financials</w:t>
            </w:r>
          </w:p>
        </w:tc>
        <w:tc>
          <w:tcPr>
            <w:tcW w:w="6460" w:type="dxa"/>
            <w:vAlign w:val="bottom"/>
          </w:tcPr>
          <w:p>
            <w:pPr>
              <w:spacing w:after="0"/>
              <w:rPr>
                <w:sz w:val="14"/>
                <w:szCs w:val="14"/>
                <w:color w:val="auto"/>
              </w:rPr>
            </w:pP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Consolidated Summary Financial Highlights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rPr>
              <w:t>9</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Consolidated Components of Changes in Site Rental Revenues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10</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Consolidated Summary of Capital Expenditures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11</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Consolidated Return on Invested Capital</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11</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Consolidated Tenant Overview</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11</w:t>
            </w:r>
          </w:p>
        </w:tc>
      </w:tr>
      <w:tr>
        <w:trPr>
          <w:trHeight w:val="171"/>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Capitalization Overview</w:t>
            </w:r>
          </w:p>
        </w:tc>
        <w:tc>
          <w:tcPr>
            <w:tcW w:w="6460" w:type="dxa"/>
            <w:vAlign w:val="bottom"/>
          </w:tcPr>
          <w:p>
            <w:pPr>
              <w:spacing w:after="0"/>
              <w:rPr>
                <w:sz w:val="14"/>
                <w:szCs w:val="14"/>
                <w:color w:val="auto"/>
              </w:rPr>
            </w:pP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Capitalization Overview</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12</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Debt Maturity Overview</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13</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Liquidity Overview</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14</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Summary of Maintenance and Financial Covenants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14</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Interest Rate Exposure</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15</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Components of Interest Expense</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15</w:t>
            </w:r>
          </w:p>
        </w:tc>
      </w:tr>
      <w:tr>
        <w:trPr>
          <w:trHeight w:val="184"/>
        </w:trPr>
        <w:tc>
          <w:tcPr>
            <w:tcW w:w="48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Towers Segment</w:t>
            </w:r>
          </w:p>
        </w:tc>
        <w:tc>
          <w:tcPr>
            <w:tcW w:w="6460" w:type="dxa"/>
            <w:vAlign w:val="bottom"/>
            <w:shd w:val="clear" w:color="auto" w:fill="DBE5F1"/>
          </w:tcPr>
          <w:p>
            <w:pPr>
              <w:spacing w:after="0"/>
              <w:rPr>
                <w:sz w:val="15"/>
                <w:szCs w:val="15"/>
                <w:color w:val="auto"/>
              </w:rPr>
            </w:pP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Towers Segment Summary Financial Highlights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16</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Towers Segment Components of Changes in Site Rental Revenues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17</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Towers Segment Summary of Capital Expenditures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17</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Towers Segment Portfolio Highlights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18</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Towers Segment Cash Yield on Invested Capital</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18</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Towers Annualized Rental Cash Payments at Time of Renewal</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18</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Towers Projected Revenues from Tenant Contracts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19</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w w:val="97"/>
              </w:rPr>
              <w:t>Towers Projected Expenses from Existing Ground Leases and Fiber Access Agreements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19</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Summary of Tower Portfolio by Vintage</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19</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Ground Interest Overview</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20</w:t>
            </w:r>
          </w:p>
        </w:tc>
      </w:tr>
      <w:tr>
        <w:trPr>
          <w:trHeight w:val="171"/>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Fiber Segment</w:t>
            </w:r>
          </w:p>
        </w:tc>
        <w:tc>
          <w:tcPr>
            <w:tcW w:w="6460" w:type="dxa"/>
            <w:vAlign w:val="bottom"/>
          </w:tcPr>
          <w:p>
            <w:pPr>
              <w:spacing w:after="0"/>
              <w:rPr>
                <w:sz w:val="14"/>
                <w:szCs w:val="14"/>
                <w:color w:val="auto"/>
              </w:rPr>
            </w:pP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Fiber Segment Summary Financial Highlights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21</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Fiber Segment Components of Changes in Site Rental Revenues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22</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Fiber Segment Summary of Capital Expenditures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22</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Fiber Segment Revenue Detail by Line of Business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23</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Fiber Segment Portfolio Highlights</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25</w:t>
            </w:r>
          </w:p>
        </w:tc>
      </w:tr>
      <w:tr>
        <w:trPr>
          <w:trHeight w:val="171"/>
        </w:trPr>
        <w:tc>
          <w:tcPr>
            <w:tcW w:w="48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Fiber Segment Cash Yield on Invested Capital</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25</w:t>
            </w:r>
          </w:p>
        </w:tc>
      </w:tr>
      <w:tr>
        <w:trPr>
          <w:trHeight w:val="184"/>
        </w:trPr>
        <w:tc>
          <w:tcPr>
            <w:tcW w:w="480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3"/>
                <w:szCs w:val="13"/>
                <w:color w:val="auto"/>
              </w:rPr>
              <w:t>Fiber Solutions Revenue Mix</w:t>
            </w:r>
          </w:p>
        </w:tc>
        <w:tc>
          <w:tcPr>
            <w:tcW w:w="6460" w:type="dxa"/>
            <w:vAlign w:val="bottom"/>
            <w:shd w:val="clear" w:color="auto" w:fill="DBE5F1"/>
          </w:tcPr>
          <w:p>
            <w:pPr>
              <w:jc w:val="center"/>
              <w:ind w:left="3756"/>
              <w:spacing w:after="0"/>
              <w:rPr>
                <w:sz w:val="20"/>
                <w:szCs w:val="20"/>
                <w:color w:val="auto"/>
              </w:rPr>
            </w:pPr>
            <w:r>
              <w:rPr>
                <w:rFonts w:ascii="Times New Roman" w:cs="Times New Roman" w:eastAsia="Times New Roman" w:hAnsi="Times New Roman"/>
                <w:sz w:val="13"/>
                <w:szCs w:val="13"/>
                <w:color w:val="auto"/>
                <w:w w:val="91"/>
              </w:rPr>
              <w:t>25</w:t>
            </w:r>
          </w:p>
        </w:tc>
      </w:tr>
      <w:tr>
        <w:trPr>
          <w:trHeight w:val="164"/>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Appendix of Condensed Consolidated Financial Statements and Non-GAAP Reconciliations</w:t>
            </w:r>
          </w:p>
        </w:tc>
        <w:tc>
          <w:tcPr>
            <w:tcW w:w="6460" w:type="dxa"/>
            <w:vAlign w:val="bottom"/>
          </w:tcPr>
          <w:p>
            <w:pPr>
              <w:jc w:val="center"/>
              <w:ind w:left="3756"/>
              <w:spacing w:after="0"/>
              <w:rPr>
                <w:sz w:val="20"/>
                <w:szCs w:val="20"/>
                <w:color w:val="auto"/>
              </w:rPr>
            </w:pPr>
            <w:r>
              <w:rPr>
                <w:rFonts w:ascii="Times New Roman" w:cs="Times New Roman" w:eastAsia="Times New Roman" w:hAnsi="Times New Roman"/>
                <w:sz w:val="13"/>
                <w:szCs w:val="13"/>
                <w:color w:val="auto"/>
                <w:w w:val="91"/>
              </w:rPr>
              <w:t>26</w:t>
            </w:r>
          </w:p>
        </w:tc>
      </w:tr>
      <w:tr>
        <w:trPr>
          <w:trHeight w:val="652"/>
        </w:trPr>
        <w:tc>
          <w:tcPr>
            <w:tcW w:w="4800" w:type="dxa"/>
            <w:vAlign w:val="bottom"/>
          </w:tcPr>
          <w:p>
            <w:pPr>
              <w:spacing w:after="0"/>
              <w:rPr>
                <w:sz w:val="24"/>
                <w:szCs w:val="24"/>
                <w:color w:val="auto"/>
              </w:rPr>
            </w:pPr>
          </w:p>
        </w:tc>
        <w:tc>
          <w:tcPr>
            <w:tcW w:w="6460" w:type="dxa"/>
            <w:vAlign w:val="bottom"/>
          </w:tcPr>
          <w:p>
            <w:pPr>
              <w:jc w:val="center"/>
              <w:ind w:right="4756"/>
              <w:spacing w:after="0"/>
              <w:rPr>
                <w:sz w:val="20"/>
                <w:szCs w:val="20"/>
                <w:color w:val="auto"/>
              </w:rPr>
            </w:pPr>
            <w:r>
              <w:rPr>
                <w:rFonts w:ascii="Times New Roman" w:cs="Times New Roman" w:eastAsia="Times New Roman" w:hAnsi="Times New Roman"/>
                <w:sz w:val="16"/>
                <w:szCs w:val="16"/>
                <w:color w:val="auto"/>
                <w:w w:val="99"/>
              </w:rPr>
              <w:t>1</w:t>
            </w:r>
          </w:p>
        </w:tc>
      </w:tr>
    </w:tbl>
    <w:p>
      <w:pPr>
        <w:sectPr>
          <w:pgSz w:w="11900" w:h="16838" w:orient="portrait"/>
          <w:cols w:equalWidth="0" w:num="1">
            <w:col w:w="11260"/>
          </w:cols>
          <w:pgMar w:left="320" w:top="120"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Language Regarding Forward-Looking Statements</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This supplemental information package ("Supplement") contains forward-looking statements and information that are based on our management's current expectations as of the date of this Supplement. Statements that are not historical facts are hereby identified as forward-looking statements. Words such as "Outlook," "guide," "forecast," "estimate," "anticipate," "project," "plan," "intend," "believe," "expect," "likely," "predicted," "positioned," and any variations of these words and similar expressions are intended to identify such forward looking statements. Such statements include plans, projections and estimates regarding (1) demand for data and our communications infrastructure, (2) cash flow growth and its driving factors, (3) our Outlook for full year 2025, (4) the value of our business model, strategy and product offerings, (5) our strategy and the strategic position of our assets, (6) revenues from tenant contracts, (7) expenses from existing ground leases and fiber access agreements, (8) the growth of the U.S. market for communications infrastructure ownership, (9) levels of commitments under our debt instruments, (10) the impact of Sprint Cancellations to our operating and financial results, (11) the impact of small cell nodes cancellations and (12) the Strategic Fiber Agreement and Strategic Fiber Transaction (each as defined below) and pending sale of our Fiber Business (defined below), including the timing and completion thereof, the proceeds therefrom, and the potential impacts on our business and financial results. Any dividends remain subject to the approval of our Board of Directors which has the discretion to determine whether to declare dividends and the amounts and timing of the dividends.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Such forward-looking statements are subject to certain risks, uncertainties and assumptions, including, but not limited to, prevailing market conditions. Should one or more of these or other risks or uncertainties materialize, or should underlying assumptions prove incorrect, actual results may vary materially from those expected. Crown Castle assumes no obligation to update publicly any forward-looking statements, whether as a result of new information, future events or otherwise. More information about potential risk factors which could affect our results is included in our filings with the Securities and Exchange Commission ("SEC"). 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w:t>
      </w:r>
    </w:p>
    <w:p>
      <w:pPr>
        <w:spacing w:after="0" w:line="113"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This Supplement contains certain figures, projections and calculations based in part on management's underlying assumptions. Management believes these assumptions are reasonable; however, other reasonable assumptions could provide differing outputs.</w:t>
      </w:r>
    </w:p>
    <w:p>
      <w:pPr>
        <w:spacing w:after="0" w:line="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components of forward looking financial information presented herein may not sum due to rounding. In addition, the sum of quarterly historical information presented herein may not agree to year to date historical information provided herein due to rounding. Throughout this document, percentage calculations, which are based on non-rounded dollar values, may not be able to be recalculated using the dollar values included in this document due to the rounding of those dollar values.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Definitions and reconciliations of non-GAAP financial measures, information regarding segment measures and other information are provided in the Appendix to this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herein, the term "including" and any variation thereof, means "including without limitation." The use of the word "or" herein is not exclusive.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0"/>
          </w:cols>
          <w:pgMar w:left="320" w:top="120"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shd w:val="clear" w:color="auto" w:fill="CCC0DA"/>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94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Crown Castle Inc. (to which the terms "Crown Castle," "CCI," "we," "our," "the Company" or "us" as used herein refer) owns, operates and leases shared communications infrastructure that is geographically dispersed throughout the U.S., including (1) more than 40,000 towers and other structures, such as rooftops (collectively, "towers"), (2) approximately 105,000 small cells on air or under contract and (3) approximately 90,000 route miles of fiber primarily supporting small cells and fiber solutions. We refer to our towers, small cells and fiber assets collectively as "communications infrastructure," and to our customers on our communications infrastructure as "tenants." Our towers have a significant presence in each of the top 100 basic trading areas, and the majority of our small cells and fiber assets are located in major metropolitan areas, including a presence within every major U.S. market.</w:t>
      </w:r>
    </w:p>
    <w:p>
      <w:pPr>
        <w:spacing w:after="0" w:line="125"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Our operating segments consist of (1) Towers and (2) Fiber, which includes both small cells and fiber solutions. Our core business is providing access, including space or capacity, to our shared communications infrastructure via long-term contracts in various forms, including lease, license, sublease and service agreements (collectively, "tenant contracts"). We seek to increase our site rental revenues by adding more tenants on our shared communications infrastructure, which we expect to result in significant incremental cash flows due to our low incremental operating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as a Real Estate Investment Trust ("REIT") for U.S. federal income tax purposes.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13, 2025, management signed a definitive agreement ("Strategic Fiber Agreement") to sell our Fiber segment, together with certain supporting assets and personnel ("Fiber Business"), with EQT Active Core Infrastructure fund acquiring the small cell business and Zayo Group Holdings Inc. acquiring the fiber solutions business ("Strategic Fiber Transaction"). Under the Strategic Fiber Agreement, we will receive cash consideration of $8.5 billion at close, subject to certain closing adjustments. The Strategic Fiber Transaction is expected to close in the second half of 2026, subject to regulatory approvals and certain closing conditions.</w:t>
      </w:r>
    </w:p>
    <w:p>
      <w:pPr>
        <w:spacing w:after="0" w:line="1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With the exception of our 2025 Outlook (which reflects the pending sale of our Fiber Business), the historical financial statements and financial metrics presented herein do not give effect to our pending sale of the Fiber Business.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94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23" w:lineRule="exact"/>
        <w:rPr>
          <w:sz w:val="20"/>
          <w:szCs w:val="20"/>
          <w:color w:val="auto"/>
        </w:rPr>
      </w:pPr>
    </w:p>
    <w:p>
      <w:pPr>
        <w:jc w:val="both"/>
        <w:ind w:firstLine="355"/>
        <w:spacing w:after="0" w:line="264" w:lineRule="auto"/>
        <w:rPr>
          <w:sz w:val="20"/>
          <w:szCs w:val="20"/>
          <w:color w:val="auto"/>
        </w:rPr>
      </w:pPr>
      <w:r>
        <w:rPr>
          <w:rFonts w:ascii="Times New Roman" w:cs="Times New Roman" w:eastAsia="Times New Roman" w:hAnsi="Times New Roman"/>
          <w:sz w:val="14"/>
          <w:szCs w:val="14"/>
          <w:color w:val="auto"/>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generated by operating activities to our common stockholders in the form of dividends and (3) investing capital efficiently to grow cash flows and long-term dividends per share. Our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per-share results. The key elements of our strategy are to:</w:t>
      </w:r>
    </w:p>
    <w:p>
      <w:pPr>
        <w:spacing w:after="0" w:line="106" w:lineRule="exact"/>
        <w:rPr>
          <w:sz w:val="20"/>
          <w:szCs w:val="20"/>
          <w:color w:val="auto"/>
        </w:rPr>
      </w:pPr>
    </w:p>
    <w:p>
      <w:pPr>
        <w:jc w:val="both"/>
        <w:ind w:left="700" w:hanging="351"/>
        <w:spacing w:after="0" w:line="261" w:lineRule="auto"/>
        <w:tabs>
          <w:tab w:leader="none" w:pos="69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Grow cash flows from our existing communications infrastructure. </w:t>
      </w:r>
      <w:r>
        <w:rPr>
          <w:rFonts w:ascii="Times New Roman" w:cs="Times New Roman" w:eastAsia="Times New Roman" w:hAnsi="Times New Roman"/>
          <w:sz w:val="14"/>
          <w:szCs w:val="14"/>
          <w:color w:val="auto"/>
        </w:rPr>
        <w:t>We are focused on maximizing the recurring site rental cash flows generated from providing our tenants with long-term access to our shared infrastructure assets,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product offerings of towers and small cells provide a comprehensive solution to our wireless tenants' growing network needs through our shared communications infrastructure model, which is an efficient and cost-effective way to serve our tenants. Additionally, we believe our ability to share our fiber assets across multiple tenants to deploy both small cells and offer fiber solutions allows us to generate cash flows and increase stockholder return.</w:t>
      </w:r>
    </w:p>
    <w:p>
      <w:pPr>
        <w:spacing w:after="0" w:line="108" w:lineRule="exact"/>
        <w:rPr>
          <w:rFonts w:ascii="Times New Roman" w:cs="Times New Roman" w:eastAsia="Times New Roman" w:hAnsi="Times New Roman"/>
          <w:sz w:val="14"/>
          <w:szCs w:val="14"/>
          <w:i w:val="1"/>
          <w:iCs w:val="1"/>
          <w:color w:val="auto"/>
        </w:rPr>
      </w:pPr>
    </w:p>
    <w:p>
      <w:pPr>
        <w:jc w:val="both"/>
        <w:ind w:left="700" w:right="20" w:hanging="351"/>
        <w:spacing w:after="0" w:line="271" w:lineRule="auto"/>
        <w:tabs>
          <w:tab w:leader="none" w:pos="69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Return cash generated by operating activities to common stockholders in the form of dividends</w:t>
      </w:r>
      <w:r>
        <w:rPr>
          <w:rFonts w:ascii="Times New Roman" w:cs="Times New Roman" w:eastAsia="Times New Roman" w:hAnsi="Times New Roman"/>
          <w:sz w:val="14"/>
          <w:szCs w:val="14"/>
          <w:color w:val="auto"/>
        </w:rPr>
        <w:t>. We believe that distributing a meaningful portion of our cash generated by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activities appropriately provides common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common stockholders.</w:t>
      </w:r>
    </w:p>
    <w:p>
      <w:pPr>
        <w:spacing w:after="0" w:line="100" w:lineRule="exact"/>
        <w:rPr>
          <w:rFonts w:ascii="Times New Roman" w:cs="Times New Roman" w:eastAsia="Times New Roman" w:hAnsi="Times New Roman"/>
          <w:sz w:val="14"/>
          <w:szCs w:val="14"/>
          <w:color w:val="auto"/>
        </w:rPr>
      </w:pPr>
    </w:p>
    <w:p>
      <w:pPr>
        <w:jc w:val="both"/>
        <w:ind w:left="700" w:hanging="351"/>
        <w:spacing w:after="0" w:line="265" w:lineRule="auto"/>
        <w:tabs>
          <w:tab w:leader="none" w:pos="69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Invest capital efficiently to grow cash flows and long-term dividends per share. </w:t>
      </w:r>
      <w:r>
        <w:rPr>
          <w:rFonts w:ascii="Times New Roman" w:cs="Times New Roman" w:eastAsia="Times New Roman" w:hAnsi="Times New Roman"/>
          <w:sz w:val="14"/>
          <w:szCs w:val="14"/>
          <w:color w:val="auto"/>
        </w:rPr>
        <w:t>In addition to adding tenants to existing communications infrastructure, we seek to invest our available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including the net cash generated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18"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of towers, fiber and small cells;</w:t>
      </w:r>
    </w:p>
    <w:p>
      <w:pPr>
        <w:spacing w:after="0" w:line="20"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of towers, fiber and small cells;</w:t>
      </w:r>
    </w:p>
    <w:p>
      <w:pPr>
        <w:spacing w:after="0" w:line="4"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of land interests (which primarily relate to land assets under towers);</w:t>
      </w:r>
    </w:p>
    <w:p>
      <w:pPr>
        <w:spacing w:after="0" w:line="7"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improvements and structural enhancements to our existing communications infrastructure;</w:t>
      </w:r>
    </w:p>
    <w:p>
      <w:pPr>
        <w:spacing w:after="0" w:line="13"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shares of our common stock from time to time; and</w:t>
      </w:r>
    </w:p>
    <w:p>
      <w:pPr>
        <w:spacing w:after="0" w:line="7" w:lineRule="exact"/>
        <w:rPr>
          <w:rFonts w:ascii="Times New Roman" w:cs="Times New Roman" w:eastAsia="Times New Roman" w:hAnsi="Times New Roman"/>
          <w:sz w:val="14"/>
          <w:szCs w:val="14"/>
          <w:color w:val="auto"/>
        </w:rPr>
      </w:pPr>
    </w:p>
    <w:p>
      <w:pPr>
        <w:ind w:left="1200" w:hanging="212"/>
        <w:spacing w:after="0"/>
        <w:tabs>
          <w:tab w:leader="none" w:pos="120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repayments or redemptions of our debt.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20" w:right="319" w:bottom="1440" w:gutter="0" w:footer="0" w:header="0"/>
        </w:sectPr>
      </w:pPr>
    </w:p>
    <w:bookmarkStart w:id="37" w:name="page38"/>
    <w:bookmarkEnd w:id="37"/>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shd w:val="clear" w:color="auto" w:fill="CCC0DA"/>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both"/>
        <w:ind w:left="5" w:right="20" w:firstLine="355"/>
        <w:spacing w:after="0" w:line="264" w:lineRule="auto"/>
        <w:rPr>
          <w:sz w:val="20"/>
          <w:szCs w:val="20"/>
          <w:color w:val="auto"/>
        </w:rPr>
      </w:pPr>
      <w:r>
        <w:rPr>
          <w:rFonts w:ascii="Times New Roman" w:cs="Times New Roman" w:eastAsia="Times New Roman" w:hAnsi="Times New Roman"/>
          <w:sz w:val="14"/>
          <w:szCs w:val="14"/>
          <w:color w:val="auto"/>
        </w:rPr>
        <w:t>Our strategy to create long-term stockholder value is based on our belief that there will be considerable future demand for our communications infrastructure based on the location of our assets and the rapid and continuing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 Further, we seek to augment the long-term value creation associated with growing our recurring site rental cash flows by offering certain ancillary site development services within our Towers segment.</w:t>
      </w:r>
    </w:p>
    <w:p>
      <w:pPr>
        <w:spacing w:after="0" w:line="200" w:lineRule="exact"/>
        <w:rPr>
          <w:sz w:val="20"/>
          <w:szCs w:val="20"/>
          <w:color w:val="auto"/>
        </w:rPr>
      </w:pPr>
    </w:p>
    <w:p>
      <w:pPr>
        <w:spacing w:after="0" w:line="296"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3840" w:type="dxa"/>
            <w:vAlign w:val="bottom"/>
            <w:tcBorders>
              <w:bottom w:val="single" w:sz="8" w:color="auto"/>
            </w:tcBorders>
          </w:tcPr>
          <w:p>
            <w:pPr>
              <w:spacing w:after="0"/>
              <w:rPr>
                <w:sz w:val="16"/>
                <w:szCs w:val="16"/>
                <w:color w:val="auto"/>
              </w:rPr>
            </w:pPr>
          </w:p>
        </w:tc>
        <w:tc>
          <w:tcPr>
            <w:tcW w:w="7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GENERAL COMPANY INFORMATION</w:t>
            </w:r>
          </w:p>
        </w:tc>
      </w:tr>
      <w:tr>
        <w:trPr>
          <w:trHeight w:val="18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offices</w:t>
            </w:r>
          </w:p>
        </w:tc>
        <w:tc>
          <w:tcPr>
            <w:tcW w:w="74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8020 Katy Freeway, Houston, TX 77024</w:t>
            </w:r>
          </w:p>
        </w:tc>
      </w:tr>
      <w:tr>
        <w:trPr>
          <w:trHeight w:val="192"/>
        </w:trPr>
        <w:tc>
          <w:tcPr>
            <w:tcW w:w="38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Common shares trading symbol</w:t>
            </w:r>
          </w:p>
        </w:tc>
        <w:tc>
          <w:tcPr>
            <w:tcW w:w="7420" w:type="dxa"/>
            <w:vAlign w:val="bottom"/>
            <w:shd w:val="clear" w:color="auto" w:fill="DBE5F1"/>
          </w:tcPr>
          <w:p>
            <w:pPr>
              <w:ind w:left="1720"/>
              <w:spacing w:after="0"/>
              <w:rPr>
                <w:sz w:val="20"/>
                <w:szCs w:val="20"/>
                <w:color w:val="auto"/>
              </w:rPr>
            </w:pPr>
            <w:r>
              <w:rPr>
                <w:rFonts w:ascii="Times New Roman" w:cs="Times New Roman" w:eastAsia="Times New Roman" w:hAnsi="Times New Roman"/>
                <w:sz w:val="14"/>
                <w:szCs w:val="14"/>
                <w:color w:val="auto"/>
              </w:rPr>
              <w:t>CCI</w:t>
            </w: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exchange listing</w:t>
            </w:r>
          </w:p>
        </w:tc>
        <w:tc>
          <w:tcPr>
            <w:tcW w:w="74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192"/>
        </w:trPr>
        <w:tc>
          <w:tcPr>
            <w:tcW w:w="38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Fiscal year ending date</w:t>
            </w:r>
          </w:p>
        </w:tc>
        <w:tc>
          <w:tcPr>
            <w:tcW w:w="7420" w:type="dxa"/>
            <w:vAlign w:val="bottom"/>
            <w:shd w:val="clear" w:color="auto" w:fill="DBE5F1"/>
          </w:tcPr>
          <w:p>
            <w:pPr>
              <w:ind w:left="1720"/>
              <w:spacing w:after="0"/>
              <w:rPr>
                <w:sz w:val="20"/>
                <w:szCs w:val="20"/>
                <w:color w:val="auto"/>
              </w:rPr>
            </w:pPr>
            <w:r>
              <w:rPr>
                <w:rFonts w:ascii="Times New Roman" w:cs="Times New Roman" w:eastAsia="Times New Roman" w:hAnsi="Times New Roman"/>
                <w:sz w:val="14"/>
                <w:szCs w:val="14"/>
                <w:color w:val="auto"/>
              </w:rPr>
              <w:t>December 31</w:t>
            </w:r>
          </w:p>
        </w:tc>
      </w:tr>
      <w:tr>
        <w:trPr>
          <w:trHeight w:val="18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Fitch - Long-term Issuer Default Rating</w:t>
            </w:r>
          </w:p>
        </w:tc>
        <w:tc>
          <w:tcPr>
            <w:tcW w:w="74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BBB+</w:t>
            </w:r>
          </w:p>
        </w:tc>
      </w:tr>
      <w:tr>
        <w:trPr>
          <w:trHeight w:val="192"/>
        </w:trPr>
        <w:tc>
          <w:tcPr>
            <w:tcW w:w="38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Moody’s - Long-term Corporate Family Rating</w:t>
            </w:r>
          </w:p>
        </w:tc>
        <w:tc>
          <w:tcPr>
            <w:tcW w:w="7420" w:type="dxa"/>
            <w:vAlign w:val="bottom"/>
            <w:shd w:val="clear" w:color="auto" w:fill="DBE5F1"/>
          </w:tcPr>
          <w:p>
            <w:pPr>
              <w:ind w:left="1720"/>
              <w:spacing w:after="0"/>
              <w:rPr>
                <w:sz w:val="20"/>
                <w:szCs w:val="20"/>
                <w:color w:val="auto"/>
              </w:rPr>
            </w:pPr>
            <w:r>
              <w:rPr>
                <w:rFonts w:ascii="Times New Roman" w:cs="Times New Roman" w:eastAsia="Times New Roman" w:hAnsi="Times New Roman"/>
                <w:sz w:val="14"/>
                <w:szCs w:val="14"/>
                <w:color w:val="auto"/>
              </w:rPr>
              <w:t>Baa3</w:t>
            </w:r>
          </w:p>
        </w:tc>
      </w:tr>
      <w:tr>
        <w:trPr>
          <w:trHeight w:val="184"/>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Standard &amp; Poor’s - Long-term Local Issuer Credit Rating</w:t>
            </w:r>
          </w:p>
        </w:tc>
        <w:tc>
          <w:tcPr>
            <w:tcW w:w="742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BBB</w:t>
            </w:r>
          </w:p>
        </w:tc>
      </w:tr>
    </w:tbl>
    <w:p>
      <w:pPr>
        <w:spacing w:after="0" w:line="208" w:lineRule="exact"/>
        <w:rPr>
          <w:sz w:val="20"/>
          <w:szCs w:val="20"/>
          <w:color w:val="auto"/>
        </w:rPr>
      </w:pPr>
    </w:p>
    <w:p>
      <w:pPr>
        <w:jc w:val="both"/>
        <w:ind w:left="5"/>
        <w:spacing w:after="0" w:line="281" w:lineRule="auto"/>
        <w:rPr>
          <w:sz w:val="20"/>
          <w:szCs w:val="20"/>
          <w:color w:val="auto"/>
        </w:rPr>
      </w:pPr>
      <w:r>
        <w:rPr>
          <w:rFonts w:ascii="Times New Roman" w:cs="Times New Roman" w:eastAsia="Times New Roman" w:hAnsi="Times New Roman"/>
          <w:sz w:val="12"/>
          <w:szCs w:val="12"/>
          <w:i w:val="1"/>
          <w:iCs w:val="1"/>
          <w:color w:val="auto"/>
        </w:rPr>
        <w:t>Note: These credit ratings may not reflect the potential risks relating to the structure or trading of the Company’s securities and are provided solely for informational purposes. Credit ratings are not recommendations to buy, sell or hold any security, and may be revised or withdrawn at any time by the issuing organization in its sole discretion. The Company does not undertake any obligation to maintain the ratings or to advise of any change in the ratings. Each agency’s rating should be evaluated independently of any other agency’s rating. An explanation of the significances of the ratings can be obtained from each of the ratings agencies.</w:t>
      </w: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ASSET PORTFOLIO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19685</wp:posOffset>
            </wp:positionV>
            <wp:extent cx="7074535" cy="2808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74535" cy="280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85" w:hanging="285"/>
        <w:spacing w:after="0"/>
        <w:tabs>
          <w:tab w:leader="none" w:pos="28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air or under contract.</w:t>
      </w:r>
    </w:p>
    <w:p>
      <w:pPr>
        <w:spacing w:after="0" w:line="37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65"/>
          </w:cols>
          <w:pgMar w:left="315" w:top="120" w:right="319" w:bottom="1440" w:gutter="0" w:footer="0" w:header="0"/>
        </w:sectPr>
      </w:pPr>
    </w:p>
    <w:bookmarkStart w:id="38" w:name="page39"/>
    <w:bookmarkEnd w:id="38"/>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shd w:val="clear" w:color="auto" w:fill="CCC0DA"/>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HISTORICAL COMMON STOCK DATA</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6280" w:type="dxa"/>
            <w:vAlign w:val="bottom"/>
            <w:tcBorders>
              <w:top w:val="single" w:sz="8" w:color="auto"/>
              <w:bottom w:val="single" w:sz="8" w:color="D9D9D9"/>
            </w:tcBorders>
            <w:shd w:val="clear" w:color="auto" w:fill="D9D9D9"/>
          </w:tcPr>
          <w:p>
            <w:pPr>
              <w:spacing w:after="0"/>
              <w:rPr>
                <w:sz w:val="16"/>
                <w:szCs w:val="16"/>
                <w:color w:val="auto"/>
              </w:rPr>
            </w:pP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800" w:type="dxa"/>
            <w:vAlign w:val="bottom"/>
            <w:tcBorders>
              <w:top w:val="single" w:sz="8" w:color="auto"/>
              <w:bottom w:val="single" w:sz="8" w:color="auto"/>
            </w:tcBorders>
            <w:shd w:val="clear" w:color="auto" w:fill="D9D9D9"/>
          </w:tcPr>
          <w:p>
            <w:pPr>
              <w:spacing w:after="0"/>
              <w:rPr>
                <w:sz w:val="16"/>
                <w:szCs w:val="16"/>
                <w:color w:val="auto"/>
              </w:rPr>
            </w:pPr>
          </w:p>
        </w:tc>
        <w:tc>
          <w:tcPr>
            <w:tcW w:w="220" w:type="dxa"/>
            <w:vAlign w:val="bottom"/>
            <w:tcBorders>
              <w:top w:val="single" w:sz="8" w:color="auto"/>
              <w:bottom w:val="single" w:sz="8" w:color="auto"/>
            </w:tcBorders>
            <w:shd w:val="clear" w:color="auto" w:fill="D9D9D9"/>
          </w:tcPr>
          <w:p>
            <w:pPr>
              <w:spacing w:after="0"/>
              <w:rPr>
                <w:sz w:val="16"/>
                <w:szCs w:val="16"/>
                <w:color w:val="auto"/>
              </w:rPr>
            </w:pPr>
          </w:p>
        </w:tc>
        <w:tc>
          <w:tcPr>
            <w:tcW w:w="2020" w:type="dxa"/>
            <w:vAlign w:val="bottom"/>
            <w:tcBorders>
              <w:top w:val="single" w:sz="8" w:color="auto"/>
              <w:bottom w:val="single" w:sz="8" w:color="auto"/>
            </w:tcBorders>
            <w:gridSpan w:val="4"/>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Borders>
              <w:top w:val="single" w:sz="8" w:color="auto"/>
              <w:bottom w:val="single" w:sz="8" w:color="auto"/>
            </w:tcBorders>
            <w:shd w:val="clear" w:color="auto" w:fill="D9D9D9"/>
          </w:tcPr>
          <w:p>
            <w:pPr>
              <w:spacing w:after="0"/>
              <w:rPr>
                <w:sz w:val="16"/>
                <w:szCs w:val="16"/>
                <w:color w:val="auto"/>
              </w:rPr>
            </w:pPr>
          </w:p>
        </w:tc>
        <w:tc>
          <w:tcPr>
            <w:tcW w:w="200" w:type="dxa"/>
            <w:vAlign w:val="bottom"/>
            <w:tcBorders>
              <w:top w:val="single" w:sz="8" w:color="auto"/>
              <w:bottom w:val="single" w:sz="8" w:color="auto"/>
            </w:tcBorders>
            <w:shd w:val="clear" w:color="auto" w:fill="D9D9D9"/>
          </w:tcPr>
          <w:p>
            <w:pPr>
              <w:spacing w:after="0"/>
              <w:rPr>
                <w:sz w:val="16"/>
                <w:szCs w:val="16"/>
                <w:color w:val="auto"/>
              </w:rPr>
            </w:pPr>
          </w:p>
        </w:tc>
        <w:tc>
          <w:tcPr>
            <w:tcW w:w="840" w:type="dxa"/>
            <w:vAlign w:val="bottom"/>
            <w:tcBorders>
              <w:top w:val="single" w:sz="8" w:color="auto"/>
              <w:bottom w:val="single" w:sz="8" w:color="auto"/>
            </w:tcBorders>
            <w:shd w:val="clear" w:color="auto" w:fill="D9D9D9"/>
          </w:tcPr>
          <w:p>
            <w:pPr>
              <w:spacing w:after="0"/>
              <w:rPr>
                <w:sz w:val="16"/>
                <w:szCs w:val="16"/>
                <w:color w:val="auto"/>
              </w:rPr>
            </w:pPr>
          </w:p>
        </w:tc>
      </w:tr>
      <w:tr>
        <w:trPr>
          <w:trHeight w:val="180"/>
        </w:trPr>
        <w:tc>
          <w:tcPr>
            <w:tcW w:w="628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160" w:type="dxa"/>
            <w:vAlign w:val="bottom"/>
            <w:tcBorders>
              <w:bottom w:val="single" w:sz="8" w:color="auto"/>
            </w:tcBorders>
            <w:shd w:val="clear" w:color="auto" w:fill="D9D9D9"/>
          </w:tcPr>
          <w:p>
            <w:pPr>
              <w:spacing w:after="0"/>
              <w:rPr>
                <w:sz w:val="15"/>
                <w:szCs w:val="15"/>
                <w:color w:val="auto"/>
              </w:rPr>
            </w:pPr>
          </w:p>
        </w:tc>
        <w:tc>
          <w:tcPr>
            <w:tcW w:w="800" w:type="dxa"/>
            <w:vAlign w:val="bottom"/>
            <w:tcBorders>
              <w:bottom w:val="single" w:sz="8" w:color="auto"/>
            </w:tcBorders>
            <w:shd w:val="clear" w:color="auto" w:fill="D9D9D9"/>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20" w:type="dxa"/>
            <w:vAlign w:val="bottom"/>
            <w:tcBorders>
              <w:bottom w:val="single" w:sz="8" w:color="auto"/>
            </w:tcBorders>
            <w:shd w:val="clear" w:color="auto" w:fill="D9D9D9"/>
          </w:tcPr>
          <w:p>
            <w:pPr>
              <w:spacing w:after="0"/>
              <w:rPr>
                <w:sz w:val="15"/>
                <w:szCs w:val="15"/>
                <w:color w:val="auto"/>
              </w:rPr>
            </w:pPr>
          </w:p>
        </w:tc>
        <w:tc>
          <w:tcPr>
            <w:tcW w:w="780" w:type="dxa"/>
            <w:vAlign w:val="bottom"/>
            <w:tcBorders>
              <w:bottom w:val="single" w:sz="8" w:color="auto"/>
            </w:tcBorders>
            <w:shd w:val="clear" w:color="auto" w:fill="D9D9D9"/>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3/31/24</w:t>
            </w:r>
          </w:p>
        </w:tc>
        <w:tc>
          <w:tcPr>
            <w:tcW w:w="200" w:type="dxa"/>
            <w:vAlign w:val="bottom"/>
            <w:tcBorders>
              <w:bottom w:val="single" w:sz="8" w:color="auto"/>
            </w:tcBorders>
            <w:shd w:val="clear" w:color="auto" w:fill="D9D9D9"/>
          </w:tcPr>
          <w:p>
            <w:pPr>
              <w:spacing w:after="0"/>
              <w:rPr>
                <w:sz w:val="15"/>
                <w:szCs w:val="15"/>
                <w:color w:val="auto"/>
              </w:rPr>
            </w:pPr>
          </w:p>
        </w:tc>
        <w:tc>
          <w:tcPr>
            <w:tcW w:w="800" w:type="dxa"/>
            <w:vAlign w:val="bottom"/>
            <w:tcBorders>
              <w:bottom w:val="single" w:sz="8" w:color="auto"/>
            </w:tcBorders>
            <w:shd w:val="clear" w:color="auto" w:fill="D9D9D9"/>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6/30/24</w:t>
            </w:r>
          </w:p>
        </w:tc>
        <w:tc>
          <w:tcPr>
            <w:tcW w:w="240" w:type="dxa"/>
            <w:vAlign w:val="bottom"/>
            <w:tcBorders>
              <w:bottom w:val="single" w:sz="8" w:color="auto"/>
            </w:tcBorders>
            <w:shd w:val="clear" w:color="auto" w:fill="D9D9D9"/>
          </w:tcPr>
          <w:p>
            <w:pPr>
              <w:spacing w:after="0"/>
              <w:rPr>
                <w:sz w:val="15"/>
                <w:szCs w:val="15"/>
                <w:color w:val="auto"/>
              </w:rPr>
            </w:pPr>
          </w:p>
        </w:tc>
        <w:tc>
          <w:tcPr>
            <w:tcW w:w="740" w:type="dxa"/>
            <w:vAlign w:val="bottom"/>
            <w:tcBorders>
              <w:bottom w:val="single" w:sz="8" w:color="auto"/>
            </w:tcBorders>
            <w:shd w:val="clear" w:color="auto" w:fill="D9D9D9"/>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9/30/24</w:t>
            </w:r>
          </w:p>
        </w:tc>
        <w:tc>
          <w:tcPr>
            <w:tcW w:w="200" w:type="dxa"/>
            <w:vAlign w:val="bottom"/>
            <w:tcBorders>
              <w:bottom w:val="single" w:sz="8" w:color="auto"/>
            </w:tcBorders>
            <w:shd w:val="clear" w:color="auto" w:fill="D9D9D9"/>
          </w:tcPr>
          <w:p>
            <w:pPr>
              <w:spacing w:after="0"/>
              <w:rPr>
                <w:sz w:val="15"/>
                <w:szCs w:val="15"/>
                <w:color w:val="auto"/>
              </w:rPr>
            </w:pPr>
          </w:p>
        </w:tc>
        <w:tc>
          <w:tcPr>
            <w:tcW w:w="840" w:type="dxa"/>
            <w:vAlign w:val="bottom"/>
            <w:tcBorders>
              <w:bottom w:val="single" w:sz="8" w:color="auto"/>
            </w:tcBorders>
            <w:shd w:val="clear" w:color="auto" w:fill="D9D9D9"/>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12/31/24</w:t>
            </w:r>
          </w:p>
        </w:tc>
      </w:tr>
      <w:tr>
        <w:trPr>
          <w:trHeight w:val="20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 price</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110.31</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101.10</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119.01</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117.73</w:t>
            </w:r>
          </w:p>
        </w:tc>
      </w:tr>
      <w:tr>
        <w:trPr>
          <w:trHeight w:val="213"/>
        </w:trPr>
        <w:tc>
          <w:tcPr>
            <w:tcW w:w="6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Low price</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78.64</w:t>
            </w:r>
          </w:p>
        </w:tc>
        <w:tc>
          <w:tcPr>
            <w:tcW w:w="2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97.34</w:t>
            </w:r>
          </w:p>
        </w:tc>
        <w:tc>
          <w:tcPr>
            <w:tcW w:w="2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88.33</w:t>
            </w:r>
          </w:p>
        </w:tc>
        <w:tc>
          <w:tcPr>
            <w:tcW w:w="24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92.28</w:t>
            </w:r>
          </w:p>
        </w:tc>
        <w:tc>
          <w:tcPr>
            <w:tcW w:w="20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88.92</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 end closing price</w:t>
            </w:r>
            <w:r>
              <w:rPr>
                <w:rFonts w:ascii="Times New Roman" w:cs="Times New Roman" w:eastAsia="Times New Roman" w:hAnsi="Times New Roman"/>
                <w:sz w:val="18"/>
                <w:szCs w:val="18"/>
                <w:color w:val="auto"/>
                <w:vertAlign w:val="superscript"/>
              </w:rPr>
              <w:t>(b)</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108.56</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116.75</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90.76</w:t>
            </w:r>
          </w:p>
        </w:tc>
      </w:tr>
      <w:tr>
        <w:trPr>
          <w:trHeight w:val="189"/>
        </w:trPr>
        <w:tc>
          <w:tcPr>
            <w:tcW w:w="6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Dividends paid per common share</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4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1.57</w:t>
            </w:r>
          </w:p>
        </w:tc>
      </w:tr>
      <w:tr>
        <w:trPr>
          <w:trHeight w:val="189"/>
        </w:trPr>
        <w:tc>
          <w:tcPr>
            <w:tcW w:w="62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Volume weighted average price for the period</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96.09</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94.03</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107.62</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101.70</w:t>
            </w:r>
          </w:p>
        </w:tc>
      </w:tr>
      <w:tr>
        <w:trPr>
          <w:trHeight w:val="189"/>
        </w:trPr>
        <w:tc>
          <w:tcPr>
            <w:tcW w:w="6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Common shares outstanding, at period end</w:t>
            </w:r>
          </w:p>
        </w:tc>
        <w:tc>
          <w:tcPr>
            <w:tcW w:w="160" w:type="dxa"/>
            <w:vAlign w:val="bottom"/>
            <w:shd w:val="clear" w:color="auto" w:fill="DBE5F1"/>
          </w:tcPr>
          <w:p>
            <w:pPr>
              <w:spacing w:after="0"/>
              <w:rPr>
                <w:sz w:val="16"/>
                <w:szCs w:val="16"/>
                <w:color w:val="auto"/>
              </w:rPr>
            </w:pP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20" w:type="dxa"/>
            <w:vAlign w:val="bottom"/>
            <w:shd w:val="clear" w:color="auto" w:fill="DBE5F1"/>
          </w:tcPr>
          <w:p>
            <w:pPr>
              <w:spacing w:after="0"/>
              <w:rPr>
                <w:sz w:val="16"/>
                <w:szCs w:val="16"/>
                <w:color w:val="auto"/>
              </w:rPr>
            </w:pP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shd w:val="clear" w:color="auto" w:fill="DBE5F1"/>
          </w:tcPr>
          <w:p>
            <w:pPr>
              <w:spacing w:after="0"/>
              <w:rPr>
                <w:sz w:val="16"/>
                <w:szCs w:val="16"/>
                <w:color w:val="auto"/>
              </w:rPr>
            </w:pP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4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shd w:val="clear" w:color="auto" w:fill="DBE5F1"/>
          </w:tcPr>
          <w:p>
            <w:pPr>
              <w:spacing w:after="0"/>
              <w:rPr>
                <w:sz w:val="16"/>
                <w:szCs w:val="16"/>
                <w:color w:val="auto"/>
              </w:rPr>
            </w:pPr>
          </w:p>
        </w:tc>
        <w:tc>
          <w:tcPr>
            <w:tcW w:w="84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435</w:t>
            </w:r>
          </w:p>
        </w:tc>
      </w:tr>
      <w:tr>
        <w:trPr>
          <w:trHeight w:val="246"/>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value of outstanding common shares, at period end</w:t>
            </w:r>
            <w:r>
              <w:rPr>
                <w:rFonts w:ascii="Times New Roman" w:cs="Times New Roman" w:eastAsia="Times New Roman" w:hAnsi="Times New Roman"/>
                <w:sz w:val="18"/>
                <w:szCs w:val="18"/>
                <w:color w:val="auto"/>
                <w:vertAlign w:val="superscript"/>
              </w:rPr>
              <w:t>(c)</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47,081</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43,962</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41,235</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50,739</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39,446</w:t>
            </w:r>
          </w:p>
        </w:tc>
      </w:tr>
    </w:tbl>
    <w:p>
      <w:pPr>
        <w:spacing w:after="0" w:line="26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ANNUALIZED FOURTH QUARTER DIVIDENDS PER SHARE</w:t>
      </w:r>
      <w:r>
        <w:rPr>
          <w:rFonts w:ascii="Times New Roman" w:cs="Times New Roman" w:eastAsia="Times New Roman" w:hAnsi="Times New Roman"/>
          <w:sz w:val="18"/>
          <w:szCs w:val="18"/>
          <w:b w:val="1"/>
          <w:bCs w:val="1"/>
          <w:color w:val="auto"/>
          <w:vertAlign w:val="superscript"/>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9465" cy="2313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EXECUTIVE MANAGEMENT TEAM</w:t>
            </w:r>
          </w:p>
        </w:tc>
        <w:tc>
          <w:tcPr>
            <w:tcW w:w="0" w:type="dxa"/>
            <w:vAlign w:val="bottom"/>
          </w:tcPr>
          <w:p>
            <w:pPr>
              <w:spacing w:after="0"/>
              <w:rPr>
                <w:sz w:val="1"/>
                <w:szCs w:val="1"/>
                <w:color w:val="auto"/>
              </w:rPr>
            </w:pPr>
          </w:p>
        </w:tc>
      </w:tr>
      <w:tr>
        <w:trPr>
          <w:trHeight w:val="136"/>
        </w:trPr>
        <w:tc>
          <w:tcPr>
            <w:tcW w:w="2060" w:type="dxa"/>
            <w:vAlign w:val="bottom"/>
            <w:shd w:val="clear" w:color="auto" w:fill="D9D9D9"/>
          </w:tcPr>
          <w:p>
            <w:pPr>
              <w:spacing w:after="0"/>
              <w:rPr>
                <w:sz w:val="11"/>
                <w:szCs w:val="11"/>
                <w:color w:val="auto"/>
              </w:rPr>
            </w:pPr>
          </w:p>
        </w:tc>
        <w:tc>
          <w:tcPr>
            <w:tcW w:w="1180" w:type="dxa"/>
            <w:vAlign w:val="bottom"/>
            <w:vMerge w:val="restart"/>
            <w:shd w:val="clear" w:color="auto" w:fill="D9D9D9"/>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Age</w:t>
            </w:r>
          </w:p>
        </w:tc>
        <w:tc>
          <w:tcPr>
            <w:tcW w:w="1080" w:type="dxa"/>
            <w:vAlign w:val="bottom"/>
            <w:shd w:val="clear" w:color="auto" w:fill="D9D9D9"/>
          </w:tcPr>
          <w:p>
            <w:pPr>
              <w:jc w:val="center"/>
              <w:ind w:left="173"/>
              <w:spacing w:after="0" w:line="137" w:lineRule="exact"/>
              <w:rPr>
                <w:sz w:val="20"/>
                <w:szCs w:val="20"/>
                <w:color w:val="auto"/>
              </w:rPr>
            </w:pPr>
            <w:r>
              <w:rPr>
                <w:rFonts w:ascii="Times New Roman" w:cs="Times New Roman" w:eastAsia="Times New Roman" w:hAnsi="Times New Roman"/>
                <w:sz w:val="14"/>
                <w:szCs w:val="14"/>
                <w:b w:val="1"/>
                <w:bCs w:val="1"/>
                <w:color w:val="auto"/>
                <w:w w:val="98"/>
              </w:rPr>
              <w:t>Years with</w:t>
            </w:r>
          </w:p>
        </w:tc>
        <w:tc>
          <w:tcPr>
            <w:tcW w:w="6940" w:type="dxa"/>
            <w:vAlign w:val="bottom"/>
            <w:vMerge w:val="restart"/>
            <w:shd w:val="clear" w:color="auto" w:fill="D9D9D9"/>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88"/>
        </w:trPr>
        <w:tc>
          <w:tcPr>
            <w:tcW w:w="2060" w:type="dxa"/>
            <w:vAlign w:val="bottom"/>
            <w:tcBorders>
              <w:bottom w:val="single" w:sz="8" w:color="auto"/>
            </w:tcBorders>
            <w:shd w:val="clear" w:color="auto" w:fill="D9D9D9"/>
          </w:tcPr>
          <w:p>
            <w:pPr>
              <w:spacing w:after="0"/>
              <w:rPr>
                <w:sz w:val="16"/>
                <w:szCs w:val="16"/>
                <w:color w:val="auto"/>
              </w:rPr>
            </w:pPr>
          </w:p>
        </w:tc>
        <w:tc>
          <w:tcPr>
            <w:tcW w:w="1180" w:type="dxa"/>
            <w:vAlign w:val="bottom"/>
            <w:tcBorders>
              <w:bottom w:val="single" w:sz="8" w:color="auto"/>
            </w:tcBorders>
            <w:vMerge w:val="continue"/>
            <w:shd w:val="clear" w:color="auto" w:fill="D9D9D9"/>
          </w:tcPr>
          <w:p>
            <w:pPr>
              <w:spacing w:after="0"/>
              <w:rPr>
                <w:sz w:val="16"/>
                <w:szCs w:val="16"/>
                <w:color w:val="auto"/>
              </w:rPr>
            </w:pPr>
          </w:p>
        </w:tc>
        <w:tc>
          <w:tcPr>
            <w:tcW w:w="1080" w:type="dxa"/>
            <w:vAlign w:val="bottom"/>
            <w:tcBorders>
              <w:bottom w:val="single" w:sz="8" w:color="auto"/>
            </w:tcBorders>
            <w:shd w:val="clear" w:color="auto" w:fill="D9D9D9"/>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6940" w:type="dxa"/>
            <w:vAlign w:val="bottom"/>
            <w:tcBorders>
              <w:bottom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Steven J. Moskowitz</w:t>
            </w:r>
          </w:p>
        </w:tc>
        <w:tc>
          <w:tcPr>
            <w:tcW w:w="11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61</w:t>
            </w:r>
          </w:p>
        </w:tc>
        <w:tc>
          <w:tcPr>
            <w:tcW w:w="1080" w:type="dxa"/>
            <w:vAlign w:val="bottom"/>
          </w:tcPr>
          <w:p>
            <w:pPr>
              <w:jc w:val="center"/>
              <w:ind w:left="213"/>
              <w:spacing w:after="0"/>
              <w:rPr>
                <w:sz w:val="20"/>
                <w:szCs w:val="20"/>
                <w:color w:val="auto"/>
              </w:rPr>
            </w:pPr>
            <w:r>
              <w:rPr>
                <w:rFonts w:ascii="Times New Roman" w:cs="Times New Roman" w:eastAsia="Times New Roman" w:hAnsi="Times New Roman"/>
                <w:sz w:val="14"/>
                <w:szCs w:val="14"/>
                <w:color w:val="auto"/>
              </w:rPr>
              <w:t>&lt;1</w:t>
            </w:r>
          </w:p>
        </w:tc>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0" w:type="dxa"/>
            <w:vAlign w:val="bottom"/>
          </w:tcPr>
          <w:p>
            <w:pPr>
              <w:spacing w:after="0"/>
              <w:rPr>
                <w:sz w:val="1"/>
                <w:szCs w:val="1"/>
                <w:color w:val="auto"/>
              </w:rPr>
            </w:pPr>
          </w:p>
        </w:tc>
      </w:tr>
      <w:tr>
        <w:trPr>
          <w:trHeight w:val="192"/>
        </w:trPr>
        <w:tc>
          <w:tcPr>
            <w:tcW w:w="20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Daniel K. Schlanger</w:t>
            </w:r>
          </w:p>
        </w:tc>
        <w:tc>
          <w:tcPr>
            <w:tcW w:w="1180" w:type="dxa"/>
            <w:vAlign w:val="bottom"/>
            <w:shd w:val="clear" w:color="auto" w:fill="DBE5F1"/>
          </w:tcPr>
          <w:p>
            <w:pPr>
              <w:jc w:val="center"/>
              <w:ind w:left="209"/>
              <w:spacing w:after="0"/>
              <w:rPr>
                <w:sz w:val="20"/>
                <w:szCs w:val="20"/>
                <w:color w:val="auto"/>
              </w:rPr>
            </w:pPr>
            <w:r>
              <w:rPr>
                <w:rFonts w:ascii="Times New Roman" w:cs="Times New Roman" w:eastAsia="Times New Roman" w:hAnsi="Times New Roman"/>
                <w:sz w:val="14"/>
                <w:szCs w:val="14"/>
                <w:color w:val="auto"/>
                <w:w w:val="99"/>
              </w:rPr>
              <w:t>51</w:t>
            </w:r>
          </w:p>
        </w:tc>
        <w:tc>
          <w:tcPr>
            <w:tcW w:w="1080" w:type="dxa"/>
            <w:vAlign w:val="bottom"/>
            <w:shd w:val="clear" w:color="auto" w:fill="DBE5F1"/>
          </w:tcPr>
          <w:p>
            <w:pPr>
              <w:jc w:val="center"/>
              <w:ind w:left="173"/>
              <w:spacing w:after="0"/>
              <w:rPr>
                <w:sz w:val="20"/>
                <w:szCs w:val="20"/>
                <w:color w:val="auto"/>
              </w:rPr>
            </w:pPr>
            <w:r>
              <w:rPr>
                <w:rFonts w:ascii="Times New Roman" w:cs="Times New Roman" w:eastAsia="Times New Roman" w:hAnsi="Times New Roman"/>
                <w:sz w:val="14"/>
                <w:szCs w:val="14"/>
                <w:color w:val="auto"/>
              </w:rPr>
              <w:t>8</w:t>
            </w:r>
          </w:p>
        </w:tc>
        <w:tc>
          <w:tcPr>
            <w:tcW w:w="694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0" w:type="dxa"/>
            <w:vAlign w:val="bottom"/>
          </w:tcPr>
          <w:p>
            <w:pPr>
              <w:spacing w:after="0"/>
              <w:rPr>
                <w:sz w:val="1"/>
                <w:szCs w:val="1"/>
                <w:color w:val="auto"/>
              </w:rPr>
            </w:pPr>
          </w:p>
        </w:tc>
      </w:tr>
      <w:tr>
        <w:trPr>
          <w:trHeight w:val="189"/>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Catherine Piche</w:t>
            </w:r>
          </w:p>
        </w:tc>
        <w:tc>
          <w:tcPr>
            <w:tcW w:w="11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54</w:t>
            </w:r>
          </w:p>
        </w:tc>
        <w:tc>
          <w:tcPr>
            <w:tcW w:w="1080" w:type="dxa"/>
            <w:vAlign w:val="bottom"/>
          </w:tcPr>
          <w:p>
            <w:pPr>
              <w:jc w:val="center"/>
              <w:ind w:left="173"/>
              <w:spacing w:after="0" w:line="190" w:lineRule="exact"/>
              <w:rPr>
                <w:sz w:val="20"/>
                <w:szCs w:val="20"/>
                <w:color w:val="auto"/>
              </w:rPr>
            </w:pPr>
            <w:r>
              <w:rPr>
                <w:rFonts w:ascii="Times New Roman" w:cs="Times New Roman" w:eastAsia="Times New Roman" w:hAnsi="Times New Roman"/>
                <w:sz w:val="21"/>
                <w:szCs w:val="21"/>
                <w:color w:val="auto"/>
                <w:vertAlign w:val="subscript"/>
              </w:rPr>
              <w:t>12</w:t>
            </w:r>
            <w:r>
              <w:rPr>
                <w:rFonts w:ascii="Times New Roman" w:cs="Times New Roman" w:eastAsia="Times New Roman" w:hAnsi="Times New Roman"/>
                <w:sz w:val="8"/>
                <w:szCs w:val="8"/>
                <w:color w:val="auto"/>
              </w:rPr>
              <w:t>(e)</w:t>
            </w:r>
          </w:p>
        </w:tc>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 Chief Operating Officer - Towers</w:t>
            </w:r>
          </w:p>
        </w:tc>
        <w:tc>
          <w:tcPr>
            <w:tcW w:w="0" w:type="dxa"/>
            <w:vAlign w:val="bottom"/>
          </w:tcPr>
          <w:p>
            <w:pPr>
              <w:spacing w:after="0"/>
              <w:rPr>
                <w:sz w:val="1"/>
                <w:szCs w:val="1"/>
                <w:color w:val="auto"/>
              </w:rPr>
            </w:pPr>
          </w:p>
        </w:tc>
      </w:tr>
      <w:tr>
        <w:trPr>
          <w:trHeight w:val="189"/>
        </w:trPr>
        <w:tc>
          <w:tcPr>
            <w:tcW w:w="20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Christopher D. Levendos</w:t>
            </w:r>
          </w:p>
        </w:tc>
        <w:tc>
          <w:tcPr>
            <w:tcW w:w="1180" w:type="dxa"/>
            <w:vAlign w:val="bottom"/>
            <w:shd w:val="clear" w:color="auto" w:fill="DBE5F1"/>
          </w:tcPr>
          <w:p>
            <w:pPr>
              <w:jc w:val="center"/>
              <w:ind w:left="209"/>
              <w:spacing w:after="0"/>
              <w:rPr>
                <w:sz w:val="20"/>
                <w:szCs w:val="20"/>
                <w:color w:val="auto"/>
              </w:rPr>
            </w:pPr>
            <w:r>
              <w:rPr>
                <w:rFonts w:ascii="Times New Roman" w:cs="Times New Roman" w:eastAsia="Times New Roman" w:hAnsi="Times New Roman"/>
                <w:sz w:val="14"/>
                <w:szCs w:val="14"/>
                <w:color w:val="auto"/>
                <w:w w:val="99"/>
              </w:rPr>
              <w:t>57</w:t>
            </w:r>
          </w:p>
        </w:tc>
        <w:tc>
          <w:tcPr>
            <w:tcW w:w="1080" w:type="dxa"/>
            <w:vAlign w:val="bottom"/>
            <w:shd w:val="clear" w:color="auto" w:fill="DBE5F1"/>
          </w:tcPr>
          <w:p>
            <w:pPr>
              <w:jc w:val="center"/>
              <w:ind w:left="173"/>
              <w:spacing w:after="0"/>
              <w:rPr>
                <w:sz w:val="20"/>
                <w:szCs w:val="20"/>
                <w:color w:val="auto"/>
              </w:rPr>
            </w:pPr>
            <w:r>
              <w:rPr>
                <w:rFonts w:ascii="Times New Roman" w:cs="Times New Roman" w:eastAsia="Times New Roman" w:hAnsi="Times New Roman"/>
                <w:sz w:val="14"/>
                <w:szCs w:val="14"/>
                <w:color w:val="auto"/>
              </w:rPr>
              <w:t>6</w:t>
            </w:r>
          </w:p>
        </w:tc>
        <w:tc>
          <w:tcPr>
            <w:tcW w:w="694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 Chief Operating Officer - Fiber</w:t>
            </w:r>
          </w:p>
        </w:tc>
        <w:tc>
          <w:tcPr>
            <w:tcW w:w="0" w:type="dxa"/>
            <w:vAlign w:val="bottom"/>
          </w:tcPr>
          <w:p>
            <w:pPr>
              <w:spacing w:after="0"/>
              <w:rPr>
                <w:sz w:val="1"/>
                <w:szCs w:val="1"/>
                <w:color w:val="auto"/>
              </w:rPr>
            </w:pPr>
          </w:p>
        </w:tc>
      </w:tr>
      <w:tr>
        <w:trPr>
          <w:trHeight w:val="187"/>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Edward B. Adams, Jr.</w:t>
            </w:r>
          </w:p>
        </w:tc>
        <w:tc>
          <w:tcPr>
            <w:tcW w:w="118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56</w:t>
            </w:r>
          </w:p>
        </w:tc>
        <w:tc>
          <w:tcPr>
            <w:tcW w:w="1080" w:type="dxa"/>
            <w:vAlign w:val="bottom"/>
          </w:tcPr>
          <w:p>
            <w:pPr>
              <w:jc w:val="center"/>
              <w:ind w:left="173"/>
              <w:spacing w:after="0"/>
              <w:rPr>
                <w:sz w:val="20"/>
                <w:szCs w:val="20"/>
                <w:color w:val="auto"/>
              </w:rPr>
            </w:pPr>
            <w:r>
              <w:rPr>
                <w:rFonts w:ascii="Times New Roman" w:cs="Times New Roman" w:eastAsia="Times New Roman" w:hAnsi="Times New Roman"/>
                <w:sz w:val="14"/>
                <w:szCs w:val="14"/>
                <w:color w:val="auto"/>
              </w:rPr>
              <w:t>8</w:t>
            </w:r>
          </w:p>
        </w:tc>
        <w:tc>
          <w:tcPr>
            <w:tcW w:w="6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 General Counsel</w:t>
            </w:r>
          </w:p>
        </w:tc>
        <w:tc>
          <w:tcPr>
            <w:tcW w:w="0" w:type="dxa"/>
            <w:vAlign w:val="bottom"/>
          </w:tcPr>
          <w:p>
            <w:pPr>
              <w:spacing w:after="0"/>
              <w:rPr>
                <w:sz w:val="1"/>
                <w:szCs w:val="1"/>
                <w:color w:val="auto"/>
              </w:rPr>
            </w:pPr>
          </w:p>
        </w:tc>
      </w:tr>
      <w:tr>
        <w:trPr>
          <w:trHeight w:val="192"/>
        </w:trPr>
        <w:tc>
          <w:tcPr>
            <w:tcW w:w="20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Edmond Chan</w:t>
            </w:r>
          </w:p>
        </w:tc>
        <w:tc>
          <w:tcPr>
            <w:tcW w:w="1180" w:type="dxa"/>
            <w:vAlign w:val="bottom"/>
            <w:shd w:val="clear" w:color="auto" w:fill="DBE5F1"/>
          </w:tcPr>
          <w:p>
            <w:pPr>
              <w:jc w:val="center"/>
              <w:ind w:left="209"/>
              <w:spacing w:after="0"/>
              <w:rPr>
                <w:sz w:val="20"/>
                <w:szCs w:val="20"/>
                <w:color w:val="auto"/>
              </w:rPr>
            </w:pPr>
            <w:r>
              <w:rPr>
                <w:rFonts w:ascii="Times New Roman" w:cs="Times New Roman" w:eastAsia="Times New Roman" w:hAnsi="Times New Roman"/>
                <w:sz w:val="14"/>
                <w:szCs w:val="14"/>
                <w:color w:val="auto"/>
                <w:w w:val="99"/>
              </w:rPr>
              <w:t>54</w:t>
            </w:r>
          </w:p>
        </w:tc>
        <w:tc>
          <w:tcPr>
            <w:tcW w:w="1080" w:type="dxa"/>
            <w:vAlign w:val="bottom"/>
            <w:shd w:val="clear" w:color="auto" w:fill="DBE5F1"/>
          </w:tcPr>
          <w:p>
            <w:pPr>
              <w:jc w:val="center"/>
              <w:ind w:left="173"/>
              <w:spacing w:after="0"/>
              <w:rPr>
                <w:sz w:val="20"/>
                <w:szCs w:val="20"/>
                <w:color w:val="auto"/>
              </w:rPr>
            </w:pPr>
            <w:r>
              <w:rPr>
                <w:rFonts w:ascii="Times New Roman" w:cs="Times New Roman" w:eastAsia="Times New Roman" w:hAnsi="Times New Roman"/>
                <w:sz w:val="14"/>
                <w:szCs w:val="14"/>
                <w:color w:val="auto"/>
              </w:rPr>
              <w:t>1</w:t>
            </w:r>
          </w:p>
        </w:tc>
        <w:tc>
          <w:tcPr>
            <w:tcW w:w="6940" w:type="dxa"/>
            <w:vAlign w:val="bottom"/>
            <w:shd w:val="clear" w:color="auto" w:fill="DBE5F1"/>
          </w:tcPr>
          <w:p>
            <w:pPr>
              <w:ind w:left="140"/>
              <w:spacing w:after="0"/>
              <w:rPr>
                <w:sz w:val="20"/>
                <w:szCs w:val="20"/>
                <w:color w:val="auto"/>
              </w:rPr>
            </w:pPr>
            <w:r>
              <w:rPr>
                <w:rFonts w:ascii="Times New Roman" w:cs="Times New Roman" w:eastAsia="Times New Roman" w:hAnsi="Times New Roman"/>
                <w:sz w:val="14"/>
                <w:szCs w:val="14"/>
                <w:color w:val="auto"/>
              </w:rPr>
              <w:t>Executive Vice President and Chief Information Officer</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85" w:hanging="285"/>
        <w:spacing w:after="0"/>
        <w:tabs>
          <w:tab w:leader="none" w:pos="2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sales price, adjusted for common stock dividends, as reported by Bloomberg.</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period end closing price, adjusted for common stock dividends, as reported by Bloomberg.</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as the product of (1) common shares outstanding, at period end and (2) period end closing price, adjusted for common stock dividends, as reported by Bloomberg.</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the dividends declared during the fourth quarter of each of the respective years presented, annualized. All future dividends are subject to declaration by our board of directors.</w:t>
      </w:r>
    </w:p>
    <w:p>
      <w:pPr>
        <w:ind w:left="285" w:hanging="285"/>
        <w:spacing w:after="0"/>
        <w:tabs>
          <w:tab w:leader="none" w:pos="285"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credit for prior service with the Company prior to Ms. Piche's reappointment as Executive Vice President and Chief Operating Officer - Towers of the Company effective October 28, 2024.</w:t>
      </w:r>
    </w:p>
    <w:p>
      <w:pPr>
        <w:spacing w:after="0" w:line="200" w:lineRule="exact"/>
        <w:rPr>
          <w:sz w:val="20"/>
          <w:szCs w:val="20"/>
          <w:color w:val="auto"/>
        </w:rPr>
      </w:pPr>
    </w:p>
    <w:p>
      <w:pPr>
        <w:spacing w:after="0" w:line="3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65"/>
          </w:cols>
          <w:pgMar w:left="315" w:top="120" w:right="319" w:bottom="1440" w:gutter="0" w:footer="0" w:header="0"/>
        </w:sectPr>
      </w:pPr>
    </w:p>
    <w:bookmarkStart w:id="39" w:name="page40"/>
    <w:bookmarkEnd w:id="39"/>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shd w:val="clear" w:color="auto" w:fill="CCC0DA"/>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1760" w:type="dxa"/>
            <w:vAlign w:val="bottom"/>
            <w:tcBorders>
              <w:top w:val="single" w:sz="8" w:color="auto"/>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Borders>
              <w:top w:val="single" w:sz="8" w:color="auto"/>
              <w:bottom w:val="single" w:sz="8" w:color="auto"/>
            </w:tcBorders>
            <w:shd w:val="clear" w:color="auto" w:fill="D9D9D9"/>
          </w:tcPr>
          <w:p>
            <w:pPr>
              <w:ind w:left="5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660" w:type="dxa"/>
            <w:vAlign w:val="bottom"/>
            <w:tcBorders>
              <w:top w:val="single" w:sz="8" w:color="auto"/>
              <w:bottom w:val="single" w:sz="8" w:color="auto"/>
            </w:tcBorders>
            <w:shd w:val="clear" w:color="auto" w:fill="D9D9D9"/>
          </w:tcPr>
          <w:p>
            <w:pPr>
              <w:ind w:left="2440"/>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860" w:type="dxa"/>
            <w:vAlign w:val="bottom"/>
            <w:tcBorders>
              <w:top w:val="single" w:sz="8" w:color="auto"/>
              <w:bottom w:val="single" w:sz="8" w:color="auto"/>
            </w:tcBorders>
            <w:shd w:val="clear" w:color="auto" w:fill="D9D9D9"/>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Age</w:t>
            </w:r>
          </w:p>
        </w:tc>
        <w:tc>
          <w:tcPr>
            <w:tcW w:w="1720" w:type="dxa"/>
            <w:vAlign w:val="bottom"/>
            <w:tcBorders>
              <w:top w:val="single" w:sz="8" w:color="auto"/>
              <w:bottom w:val="single" w:sz="8" w:color="auto"/>
            </w:tcBorders>
            <w:shd w:val="clear" w:color="auto" w:fill="D9D9D9"/>
          </w:tcPr>
          <w:p>
            <w:pPr>
              <w:ind w:left="380"/>
              <w:spacing w:after="0"/>
              <w:rPr>
                <w:sz w:val="20"/>
                <w:szCs w:val="20"/>
                <w:color w:val="auto"/>
              </w:rPr>
            </w:pPr>
            <w:r>
              <w:rPr>
                <w:rFonts w:ascii="Times New Roman" w:cs="Times New Roman" w:eastAsia="Times New Roman" w:hAnsi="Times New Roman"/>
                <w:sz w:val="14"/>
                <w:szCs w:val="14"/>
                <w:b w:val="1"/>
                <w:bCs w:val="1"/>
                <w:color w:val="auto"/>
              </w:rPr>
              <w:t>Years as Director</w:t>
            </w:r>
          </w:p>
        </w:tc>
      </w:tr>
      <w:tr>
        <w:trPr>
          <w:trHeight w:val="18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 Robert Bartolo</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Chair</w:t>
            </w:r>
          </w:p>
        </w:tc>
        <w:tc>
          <w:tcPr>
            <w:tcW w:w="4660" w:type="dxa"/>
            <w:vAlign w:val="bottom"/>
          </w:tcPr>
          <w:p>
            <w:pPr>
              <w:ind w:left="240"/>
              <w:spacing w:after="0" w:line="181" w:lineRule="exact"/>
              <w:rPr>
                <w:sz w:val="20"/>
                <w:szCs w:val="20"/>
                <w:color w:val="auto"/>
              </w:rPr>
            </w:pPr>
            <w:r>
              <w:rPr>
                <w:rFonts w:ascii="Times New Roman" w:cs="Times New Roman" w:eastAsia="Times New Roman" w:hAnsi="Times New Roman"/>
                <w:sz w:val="14"/>
                <w:szCs w:val="14"/>
                <w:color w:val="auto"/>
              </w:rPr>
              <w:t>NESG</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4"/>
                <w:szCs w:val="14"/>
                <w:color w:val="auto"/>
              </w:rPr>
              <w:t>, Fiber Review, Finance</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53</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10</w:t>
            </w:r>
          </w:p>
        </w:tc>
      </w:tr>
      <w:tr>
        <w:trPr>
          <w:trHeight w:val="189"/>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Cindy Christy</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line="189" w:lineRule="exact"/>
              <w:rPr>
                <w:sz w:val="20"/>
                <w:szCs w:val="20"/>
                <w:color w:val="auto"/>
              </w:rPr>
            </w:pPr>
            <w:r>
              <w:rPr>
                <w:rFonts w:ascii="Times New Roman" w:cs="Times New Roman" w:eastAsia="Times New Roman" w:hAnsi="Times New Roman"/>
                <w:sz w:val="14"/>
                <w:szCs w:val="14"/>
                <w:color w:val="auto"/>
              </w:rPr>
              <w:t>Compensation and Human Capital, NESG</w:t>
            </w:r>
            <w:r>
              <w:rPr>
                <w:rFonts w:ascii="Times New Roman" w:cs="Times New Roman" w:eastAsia="Times New Roman" w:hAnsi="Times New Roman"/>
                <w:sz w:val="18"/>
                <w:szCs w:val="18"/>
                <w:color w:val="auto"/>
                <w:vertAlign w:val="superscript"/>
              </w:rPr>
              <w:t>(a)</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59</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99"/>
              </w:rPr>
              <w:t>17</w:t>
            </w:r>
          </w:p>
        </w:tc>
      </w:tr>
      <w:tr>
        <w:trPr>
          <w:trHeight w:val="18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Ari Q. Fitzgerald</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ind w:left="240"/>
              <w:spacing w:after="0" w:line="189" w:lineRule="exact"/>
              <w:rPr>
                <w:sz w:val="20"/>
                <w:szCs w:val="20"/>
                <w:color w:val="auto"/>
              </w:rPr>
            </w:pPr>
            <w:r>
              <w:rPr>
                <w:rFonts w:ascii="Times New Roman" w:cs="Times New Roman" w:eastAsia="Times New Roman" w:hAnsi="Times New Roman"/>
                <w:sz w:val="14"/>
                <w:szCs w:val="14"/>
                <w:color w:val="auto"/>
              </w:rPr>
              <w:t>Compensation and Human Capital, NESG</w:t>
            </w:r>
            <w:r>
              <w:rPr>
                <w:rFonts w:ascii="Times New Roman" w:cs="Times New Roman" w:eastAsia="Times New Roman" w:hAnsi="Times New Roman"/>
                <w:sz w:val="18"/>
                <w:szCs w:val="18"/>
                <w:color w:val="auto"/>
                <w:vertAlign w:val="superscript"/>
              </w:rPr>
              <w:t>(a)</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62</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22</w:t>
            </w:r>
          </w:p>
        </w:tc>
      </w:tr>
      <w:tr>
        <w:trPr>
          <w:trHeight w:val="189"/>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Jason Genrich</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4"/>
                <w:szCs w:val="14"/>
                <w:color w:val="auto"/>
              </w:rPr>
              <w:t>Fiber Review, Finance</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38</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85"/>
              </w:rPr>
              <w:t>1</w:t>
            </w:r>
          </w:p>
        </w:tc>
      </w:tr>
      <w:tr>
        <w:trPr>
          <w:trHeight w:val="187"/>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Andrea J. Goldsmith</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and Human Capital</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60</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5"/>
              </w:rPr>
              <w:t>6</w:t>
            </w:r>
          </w:p>
        </w:tc>
      </w:tr>
      <w:tr>
        <w:trPr>
          <w:trHeight w:val="192"/>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Tammy K. Jones</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line="192" w:lineRule="exact"/>
              <w:rPr>
                <w:sz w:val="20"/>
                <w:szCs w:val="20"/>
                <w:color w:val="auto"/>
              </w:rPr>
            </w:pPr>
            <w:r>
              <w:rPr>
                <w:rFonts w:ascii="Times New Roman" w:cs="Times New Roman" w:eastAsia="Times New Roman" w:hAnsi="Times New Roman"/>
                <w:sz w:val="14"/>
                <w:szCs w:val="14"/>
                <w:color w:val="auto"/>
              </w:rPr>
              <w:t>Audit, NESG</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4"/>
                <w:szCs w:val="14"/>
                <w:color w:val="auto"/>
              </w:rPr>
              <w:t>, Finance</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59</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85"/>
              </w:rPr>
              <w:t>4</w:t>
            </w:r>
          </w:p>
        </w:tc>
      </w:tr>
      <w:tr>
        <w:trPr>
          <w:trHeight w:val="189"/>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Kevin T. Kabat</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ind w:left="240"/>
              <w:spacing w:after="0" w:line="189" w:lineRule="exact"/>
              <w:rPr>
                <w:sz w:val="20"/>
                <w:szCs w:val="20"/>
                <w:color w:val="auto"/>
              </w:rPr>
            </w:pPr>
            <w:r>
              <w:rPr>
                <w:rFonts w:ascii="Times New Roman" w:cs="Times New Roman" w:eastAsia="Times New Roman" w:hAnsi="Times New Roman"/>
                <w:sz w:val="14"/>
                <w:szCs w:val="14"/>
                <w:color w:val="auto"/>
              </w:rPr>
              <w:t>Compensation and Human Capital, NESG</w:t>
            </w:r>
            <w:r>
              <w:rPr>
                <w:rFonts w:ascii="Times New Roman" w:cs="Times New Roman" w:eastAsia="Times New Roman" w:hAnsi="Times New Roman"/>
                <w:sz w:val="18"/>
                <w:szCs w:val="18"/>
                <w:color w:val="auto"/>
                <w:vertAlign w:val="superscript"/>
              </w:rPr>
              <w:t>(a)</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68</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5"/>
              </w:rPr>
              <w:t>1</w:t>
            </w:r>
          </w:p>
        </w:tc>
      </w:tr>
      <w:tr>
        <w:trPr>
          <w:trHeight w:val="189"/>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Anthony J. Melone</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4"/>
                <w:szCs w:val="14"/>
                <w:color w:val="auto"/>
              </w:rPr>
              <w:t>Audit, Fiber Review</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64</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85"/>
              </w:rPr>
              <w:t>9</w:t>
            </w:r>
          </w:p>
        </w:tc>
      </w:tr>
      <w:tr>
        <w:trPr>
          <w:trHeight w:val="187"/>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Steven J. Moskowitz</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spacing w:after="0"/>
              <w:rPr>
                <w:sz w:val="16"/>
                <w:szCs w:val="16"/>
                <w:color w:val="auto"/>
              </w:rPr>
            </w:pP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61</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3"/>
              </w:rPr>
              <w:t>&lt;1</w:t>
            </w:r>
          </w:p>
        </w:tc>
      </w:tr>
      <w:tr>
        <w:trPr>
          <w:trHeight w:val="192"/>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Sunit S. Patel</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4"/>
                <w:szCs w:val="14"/>
                <w:color w:val="auto"/>
              </w:rPr>
              <w:t>Audit, Fiber Review, Finance</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63</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85"/>
              </w:rPr>
              <w:t>1</w:t>
            </w:r>
          </w:p>
        </w:tc>
      </w:tr>
      <w:tr>
        <w:trPr>
          <w:trHeight w:val="187"/>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Bradley E. Singer</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Audit, Finance</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58</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5"/>
              </w:rPr>
              <w:t>1</w:t>
            </w:r>
          </w:p>
        </w:tc>
      </w:tr>
      <w:tr>
        <w:trPr>
          <w:trHeight w:val="192"/>
        </w:trPr>
        <w:tc>
          <w:tcPr>
            <w:tcW w:w="17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Kevin A. Stephens</w:t>
            </w:r>
          </w:p>
        </w:tc>
        <w:tc>
          <w:tcPr>
            <w:tcW w:w="1240" w:type="dxa"/>
            <w:vAlign w:val="bottom"/>
            <w:shd w:val="clear" w:color="auto" w:fill="DBE5F1"/>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4"/>
                <w:szCs w:val="14"/>
                <w:color w:val="auto"/>
              </w:rPr>
              <w:t>Audit, Compensation and Human Capital, Fiber Review</w:t>
            </w:r>
          </w:p>
        </w:tc>
        <w:tc>
          <w:tcPr>
            <w:tcW w:w="1860" w:type="dxa"/>
            <w:vAlign w:val="bottom"/>
            <w:shd w:val="clear" w:color="auto" w:fill="DBE5F1"/>
          </w:tcPr>
          <w:p>
            <w:pPr>
              <w:jc w:val="center"/>
              <w:ind w:left="769"/>
              <w:spacing w:after="0"/>
              <w:rPr>
                <w:sz w:val="20"/>
                <w:szCs w:val="20"/>
                <w:color w:val="auto"/>
              </w:rPr>
            </w:pPr>
            <w:r>
              <w:rPr>
                <w:rFonts w:ascii="Times New Roman" w:cs="Times New Roman" w:eastAsia="Times New Roman" w:hAnsi="Times New Roman"/>
                <w:sz w:val="14"/>
                <w:szCs w:val="14"/>
                <w:color w:val="auto"/>
                <w:w w:val="99"/>
              </w:rPr>
              <w:t>63</w:t>
            </w:r>
          </w:p>
        </w:tc>
        <w:tc>
          <w:tcPr>
            <w:tcW w:w="1720" w:type="dxa"/>
            <w:vAlign w:val="bottom"/>
            <w:shd w:val="clear" w:color="auto" w:fill="DBE5F1"/>
          </w:tcPr>
          <w:p>
            <w:pPr>
              <w:jc w:val="center"/>
              <w:ind w:left="29"/>
              <w:spacing w:after="0"/>
              <w:rPr>
                <w:sz w:val="20"/>
                <w:szCs w:val="20"/>
                <w:color w:val="auto"/>
              </w:rPr>
            </w:pPr>
            <w:r>
              <w:rPr>
                <w:rFonts w:ascii="Times New Roman" w:cs="Times New Roman" w:eastAsia="Times New Roman" w:hAnsi="Times New Roman"/>
                <w:sz w:val="14"/>
                <w:szCs w:val="14"/>
                <w:color w:val="auto"/>
                <w:w w:val="85"/>
              </w:rPr>
              <w:t>4</w:t>
            </w:r>
          </w:p>
        </w:tc>
      </w:tr>
      <w:tr>
        <w:trPr>
          <w:trHeight w:val="184"/>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Thornton III</w:t>
            </w:r>
          </w:p>
        </w:tc>
        <w:tc>
          <w:tcPr>
            <w:tcW w:w="12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Director</w:t>
            </w:r>
          </w:p>
        </w:tc>
        <w:tc>
          <w:tcPr>
            <w:tcW w:w="4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Compensation and Human Capital</w:t>
            </w:r>
          </w:p>
        </w:tc>
        <w:tc>
          <w:tcPr>
            <w:tcW w:w="1860" w:type="dxa"/>
            <w:vAlign w:val="bottom"/>
          </w:tcPr>
          <w:p>
            <w:pPr>
              <w:jc w:val="center"/>
              <w:ind w:left="769"/>
              <w:spacing w:after="0"/>
              <w:rPr>
                <w:sz w:val="20"/>
                <w:szCs w:val="20"/>
                <w:color w:val="auto"/>
              </w:rPr>
            </w:pPr>
            <w:r>
              <w:rPr>
                <w:rFonts w:ascii="Times New Roman" w:cs="Times New Roman" w:eastAsia="Times New Roman" w:hAnsi="Times New Roman"/>
                <w:sz w:val="14"/>
                <w:szCs w:val="14"/>
                <w:color w:val="auto"/>
                <w:w w:val="99"/>
              </w:rPr>
              <w:t>66</w:t>
            </w:r>
          </w:p>
        </w:tc>
        <w:tc>
          <w:tcPr>
            <w:tcW w:w="17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85"/>
              </w:rPr>
              <w:t>4</w:t>
            </w:r>
          </w:p>
        </w:tc>
      </w:tr>
    </w:tbl>
    <w:p>
      <w:pPr>
        <w:spacing w:after="0" w:line="200" w:lineRule="exact"/>
        <w:rPr>
          <w:sz w:val="20"/>
          <w:szCs w:val="20"/>
          <w:color w:val="auto"/>
        </w:rPr>
      </w:pPr>
    </w:p>
    <w:p>
      <w:pPr>
        <w:spacing w:after="0" w:line="26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3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tcPr>
          <w:p>
            <w:pPr>
              <w:jc w:val="center"/>
              <w:ind w:left="1709"/>
              <w:spacing w:after="0"/>
              <w:rPr>
                <w:sz w:val="20"/>
                <w:szCs w:val="20"/>
                <w:color w:val="auto"/>
              </w:rPr>
            </w:pPr>
            <w:r>
              <w:rPr>
                <w:rFonts w:ascii="Times New Roman" w:cs="Times New Roman" w:eastAsia="Times New Roman" w:hAnsi="Times New Roman"/>
                <w:sz w:val="14"/>
                <w:szCs w:val="14"/>
                <w:b w:val="1"/>
                <w:bCs w:val="1"/>
                <w:color w:val="auto"/>
              </w:rPr>
              <w:t>RESEARCH COVERAGE</w:t>
            </w:r>
          </w:p>
        </w:tc>
        <w:tc>
          <w:tcPr>
            <w:tcW w:w="4280" w:type="dxa"/>
            <w:vAlign w:val="bottom"/>
            <w:tcBorders>
              <w:bottom w:val="single" w:sz="8" w:color="auto"/>
            </w:tcBorders>
          </w:tcPr>
          <w:p>
            <w:pPr>
              <w:spacing w:after="0"/>
              <w:rPr>
                <w:sz w:val="16"/>
                <w:szCs w:val="16"/>
                <w:color w:val="auto"/>
              </w:rPr>
            </w:pPr>
          </w:p>
        </w:tc>
      </w:tr>
      <w:tr>
        <w:trPr>
          <w:trHeight w:val="182"/>
        </w:trPr>
        <w:tc>
          <w:tcPr>
            <w:tcW w:w="340" w:type="dxa"/>
            <w:vAlign w:val="bottom"/>
            <w:tcBorders>
              <w:bottom w:val="single" w:sz="8" w:color="auto"/>
            </w:tcBorders>
            <w:shd w:val="clear" w:color="auto" w:fill="D9D9D9"/>
          </w:tcPr>
          <w:p>
            <w:pPr>
              <w:spacing w:after="0"/>
              <w:rPr>
                <w:sz w:val="15"/>
                <w:szCs w:val="15"/>
                <w:color w:val="auto"/>
              </w:rPr>
            </w:pPr>
          </w:p>
        </w:tc>
        <w:tc>
          <w:tcPr>
            <w:tcW w:w="2140" w:type="dxa"/>
            <w:vAlign w:val="bottom"/>
            <w:tcBorders>
              <w:bottom w:val="single" w:sz="8" w:color="auto"/>
            </w:tcBorders>
            <w:shd w:val="clear" w:color="auto" w:fill="D9D9D9"/>
          </w:tcPr>
          <w:p>
            <w:pPr>
              <w:spacing w:after="0"/>
              <w:rPr>
                <w:sz w:val="15"/>
                <w:szCs w:val="15"/>
                <w:color w:val="auto"/>
              </w:rPr>
            </w:pPr>
          </w:p>
        </w:tc>
        <w:tc>
          <w:tcPr>
            <w:tcW w:w="4500" w:type="dxa"/>
            <w:vAlign w:val="bottom"/>
            <w:tcBorders>
              <w:bottom w:val="single" w:sz="8" w:color="auto"/>
            </w:tcBorders>
            <w:shd w:val="clear" w:color="auto" w:fill="D9D9D9"/>
          </w:tcPr>
          <w:p>
            <w:pPr>
              <w:jc w:val="center"/>
              <w:ind w:left="1709"/>
              <w:spacing w:after="0"/>
              <w:rPr>
                <w:sz w:val="20"/>
                <w:szCs w:val="20"/>
                <w:color w:val="auto"/>
              </w:rPr>
            </w:pPr>
            <w:r>
              <w:rPr>
                <w:rFonts w:ascii="Times New Roman" w:cs="Times New Roman" w:eastAsia="Times New Roman" w:hAnsi="Times New Roman"/>
                <w:sz w:val="14"/>
                <w:szCs w:val="14"/>
                <w:b w:val="1"/>
                <w:bCs w:val="1"/>
                <w:color w:val="auto"/>
              </w:rPr>
              <w:t>Equity Research</w:t>
            </w:r>
          </w:p>
        </w:tc>
        <w:tc>
          <w:tcPr>
            <w:tcW w:w="4280" w:type="dxa"/>
            <w:vAlign w:val="bottom"/>
            <w:tcBorders>
              <w:bottom w:val="single" w:sz="8" w:color="auto"/>
            </w:tcBorders>
            <w:shd w:val="clear" w:color="auto" w:fill="D9D9D9"/>
          </w:tcPr>
          <w:p>
            <w:pPr>
              <w:spacing w:after="0"/>
              <w:rPr>
                <w:sz w:val="15"/>
                <w:szCs w:val="15"/>
                <w:color w:val="auto"/>
              </w:rPr>
            </w:pPr>
          </w:p>
        </w:tc>
      </w:tr>
      <w:tr>
        <w:trPr>
          <w:trHeight w:val="135"/>
        </w:trPr>
        <w:tc>
          <w:tcPr>
            <w:tcW w:w="24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Bank of America</w:t>
            </w:r>
          </w:p>
        </w:tc>
        <w:tc>
          <w:tcPr>
            <w:tcW w:w="4500" w:type="dxa"/>
            <w:vAlign w:val="bottom"/>
          </w:tcPr>
          <w:p>
            <w:pPr>
              <w:ind w:left="1300"/>
              <w:spacing w:after="0" w:line="135" w:lineRule="exact"/>
              <w:rPr>
                <w:sz w:val="20"/>
                <w:szCs w:val="20"/>
                <w:color w:val="auto"/>
              </w:rPr>
            </w:pPr>
            <w:r>
              <w:rPr>
                <w:rFonts w:ascii="Times New Roman" w:cs="Times New Roman" w:eastAsia="Times New Roman" w:hAnsi="Times New Roman"/>
                <w:sz w:val="14"/>
                <w:szCs w:val="14"/>
                <w:color w:val="auto"/>
              </w:rPr>
              <w:t>Barclays</w:t>
            </w:r>
          </w:p>
        </w:tc>
        <w:tc>
          <w:tcPr>
            <w:tcW w:w="4280" w:type="dxa"/>
            <w:vAlign w:val="bottom"/>
          </w:tcPr>
          <w:p>
            <w:pPr>
              <w:ind w:left="540"/>
              <w:spacing w:after="0" w:line="135" w:lineRule="exact"/>
              <w:rPr>
                <w:sz w:val="20"/>
                <w:szCs w:val="20"/>
                <w:color w:val="auto"/>
              </w:rPr>
            </w:pPr>
            <w:r>
              <w:rPr>
                <w:rFonts w:ascii="Times New Roman" w:cs="Times New Roman" w:eastAsia="Times New Roman" w:hAnsi="Times New Roman"/>
                <w:sz w:val="14"/>
                <w:szCs w:val="14"/>
                <w:color w:val="auto"/>
              </w:rPr>
              <w:t>BMO Capital Markets</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David Barden</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Brendan Lynch</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Ari Klein</w:t>
            </w:r>
          </w:p>
        </w:tc>
      </w:tr>
      <w:tr>
        <w:trPr>
          <w:trHeight w:val="187"/>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(646)</w:t>
            </w: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855-1320</w:t>
            </w:r>
          </w:p>
        </w:tc>
        <w:tc>
          <w:tcPr>
            <w:tcW w:w="45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(212) 526-9428</w:t>
            </w:r>
          </w:p>
        </w:tc>
        <w:tc>
          <w:tcPr>
            <w:tcW w:w="42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(212) 885-4103</w:t>
            </w:r>
          </w:p>
        </w:tc>
      </w:tr>
      <w:tr>
        <w:trPr>
          <w:trHeight w:val="144"/>
        </w:trPr>
        <w:tc>
          <w:tcPr>
            <w:tcW w:w="2480" w:type="dxa"/>
            <w:vAlign w:val="bottom"/>
            <w:gridSpan w:val="2"/>
            <w:shd w:val="clear" w:color="auto" w:fill="DBE5F1"/>
          </w:tcPr>
          <w:p>
            <w:pPr>
              <w:ind w:left="20"/>
              <w:spacing w:after="0" w:line="145" w:lineRule="exact"/>
              <w:rPr>
                <w:sz w:val="20"/>
                <w:szCs w:val="20"/>
                <w:color w:val="auto"/>
              </w:rPr>
            </w:pPr>
            <w:r>
              <w:rPr>
                <w:rFonts w:ascii="Times New Roman" w:cs="Times New Roman" w:eastAsia="Times New Roman" w:hAnsi="Times New Roman"/>
                <w:sz w:val="14"/>
                <w:szCs w:val="14"/>
                <w:color w:val="auto"/>
              </w:rPr>
              <w:t>Citigroup</w:t>
            </w:r>
          </w:p>
        </w:tc>
        <w:tc>
          <w:tcPr>
            <w:tcW w:w="4500" w:type="dxa"/>
            <w:vAlign w:val="bottom"/>
            <w:shd w:val="clear" w:color="auto" w:fill="DBE5F1"/>
          </w:tcPr>
          <w:p>
            <w:pPr>
              <w:ind w:left="1300"/>
              <w:spacing w:after="0" w:line="145" w:lineRule="exact"/>
              <w:rPr>
                <w:sz w:val="20"/>
                <w:szCs w:val="20"/>
                <w:color w:val="auto"/>
              </w:rPr>
            </w:pPr>
            <w:r>
              <w:rPr>
                <w:rFonts w:ascii="Times New Roman" w:cs="Times New Roman" w:eastAsia="Times New Roman" w:hAnsi="Times New Roman"/>
                <w:sz w:val="14"/>
                <w:szCs w:val="14"/>
                <w:color w:val="auto"/>
              </w:rPr>
              <w:t>Deutsche Bank</w:t>
            </w:r>
          </w:p>
        </w:tc>
        <w:tc>
          <w:tcPr>
            <w:tcW w:w="4280" w:type="dxa"/>
            <w:vAlign w:val="bottom"/>
            <w:shd w:val="clear" w:color="auto" w:fill="DBE5F1"/>
          </w:tcPr>
          <w:p>
            <w:pPr>
              <w:ind w:left="540"/>
              <w:spacing w:after="0" w:line="145" w:lineRule="exact"/>
              <w:rPr>
                <w:sz w:val="20"/>
                <w:szCs w:val="20"/>
                <w:color w:val="auto"/>
              </w:rPr>
            </w:pPr>
            <w:r>
              <w:rPr>
                <w:rFonts w:ascii="Times New Roman" w:cs="Times New Roman" w:eastAsia="Times New Roman" w:hAnsi="Times New Roman"/>
                <w:sz w:val="14"/>
                <w:szCs w:val="14"/>
                <w:color w:val="auto"/>
              </w:rPr>
              <w:t>Goldman Sachs</w:t>
            </w:r>
          </w:p>
        </w:tc>
      </w:tr>
      <w:tr>
        <w:trPr>
          <w:trHeight w:val="142"/>
        </w:trPr>
        <w:tc>
          <w:tcPr>
            <w:tcW w:w="2480" w:type="dxa"/>
            <w:vAlign w:val="bottom"/>
            <w:gridSpan w:val="2"/>
            <w:shd w:val="clear" w:color="auto" w:fill="DBE5F1"/>
          </w:tcPr>
          <w:p>
            <w:pPr>
              <w:ind w:left="20"/>
              <w:spacing w:after="0" w:line="142" w:lineRule="exact"/>
              <w:rPr>
                <w:sz w:val="20"/>
                <w:szCs w:val="20"/>
                <w:color w:val="auto"/>
              </w:rPr>
            </w:pPr>
            <w:r>
              <w:rPr>
                <w:rFonts w:ascii="Times New Roman" w:cs="Times New Roman" w:eastAsia="Times New Roman" w:hAnsi="Times New Roman"/>
                <w:sz w:val="14"/>
                <w:szCs w:val="14"/>
                <w:color w:val="auto"/>
              </w:rPr>
              <w:t>Michael Rollins</w:t>
            </w:r>
          </w:p>
        </w:tc>
        <w:tc>
          <w:tcPr>
            <w:tcW w:w="4500" w:type="dxa"/>
            <w:vAlign w:val="bottom"/>
            <w:shd w:val="clear" w:color="auto" w:fill="DBE5F1"/>
          </w:tcPr>
          <w:p>
            <w:pPr>
              <w:ind w:left="1300"/>
              <w:spacing w:after="0" w:line="142" w:lineRule="exact"/>
              <w:rPr>
                <w:sz w:val="20"/>
                <w:szCs w:val="20"/>
                <w:color w:val="auto"/>
              </w:rPr>
            </w:pPr>
            <w:r>
              <w:rPr>
                <w:rFonts w:ascii="Times New Roman" w:cs="Times New Roman" w:eastAsia="Times New Roman" w:hAnsi="Times New Roman"/>
                <w:sz w:val="14"/>
                <w:szCs w:val="14"/>
                <w:color w:val="auto"/>
              </w:rPr>
              <w:t>Matthew Niknam</w:t>
            </w:r>
          </w:p>
        </w:tc>
        <w:tc>
          <w:tcPr>
            <w:tcW w:w="4280" w:type="dxa"/>
            <w:vAlign w:val="bottom"/>
            <w:shd w:val="clear" w:color="auto" w:fill="DBE5F1"/>
          </w:tcPr>
          <w:p>
            <w:pPr>
              <w:ind w:left="540"/>
              <w:spacing w:after="0" w:line="142" w:lineRule="exact"/>
              <w:rPr>
                <w:sz w:val="20"/>
                <w:szCs w:val="20"/>
                <w:color w:val="auto"/>
              </w:rPr>
            </w:pPr>
            <w:r>
              <w:rPr>
                <w:rFonts w:ascii="Times New Roman" w:cs="Times New Roman" w:eastAsia="Times New Roman" w:hAnsi="Times New Roman"/>
                <w:sz w:val="14"/>
                <w:szCs w:val="14"/>
                <w:color w:val="auto"/>
              </w:rPr>
              <w:t>Jim Schneider</w:t>
            </w:r>
          </w:p>
        </w:tc>
      </w:tr>
      <w:tr>
        <w:trPr>
          <w:trHeight w:val="189"/>
        </w:trPr>
        <w:tc>
          <w:tcPr>
            <w:tcW w:w="3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w w:val="98"/>
              </w:rPr>
              <w:t>(212)</w:t>
            </w:r>
          </w:p>
        </w:tc>
        <w:tc>
          <w:tcPr>
            <w:tcW w:w="2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816-1116</w:t>
            </w:r>
          </w:p>
        </w:tc>
        <w:tc>
          <w:tcPr>
            <w:tcW w:w="4500" w:type="dxa"/>
            <w:vAlign w:val="bottom"/>
            <w:shd w:val="clear" w:color="auto" w:fill="DBE5F1"/>
          </w:tcPr>
          <w:p>
            <w:pPr>
              <w:ind w:left="1300"/>
              <w:spacing w:after="0"/>
              <w:rPr>
                <w:sz w:val="20"/>
                <w:szCs w:val="20"/>
                <w:color w:val="auto"/>
              </w:rPr>
            </w:pPr>
            <w:r>
              <w:rPr>
                <w:rFonts w:ascii="Times New Roman" w:cs="Times New Roman" w:eastAsia="Times New Roman" w:hAnsi="Times New Roman"/>
                <w:sz w:val="14"/>
                <w:szCs w:val="14"/>
                <w:color w:val="auto"/>
              </w:rPr>
              <w:t>(212) 250-4711</w:t>
            </w:r>
          </w:p>
        </w:tc>
        <w:tc>
          <w:tcPr>
            <w:tcW w:w="428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4"/>
                <w:szCs w:val="14"/>
                <w:color w:val="auto"/>
              </w:rPr>
              <w:t>(212) 357-2929</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Green Street</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HSBC</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Jefferies</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David Guarino</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Luigi Minerva</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Jonathan Petersen</w:t>
            </w:r>
          </w:p>
        </w:tc>
      </w:tr>
      <w:tr>
        <w:trPr>
          <w:trHeight w:val="187"/>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(949)</w:t>
            </w: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640-8780</w:t>
            </w:r>
          </w:p>
        </w:tc>
        <w:tc>
          <w:tcPr>
            <w:tcW w:w="45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(207) 991-6928</w:t>
            </w:r>
          </w:p>
        </w:tc>
        <w:tc>
          <w:tcPr>
            <w:tcW w:w="42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(212) 284-1705</w:t>
            </w:r>
          </w:p>
        </w:tc>
      </w:tr>
      <w:tr>
        <w:trPr>
          <w:trHeight w:val="144"/>
        </w:trPr>
        <w:tc>
          <w:tcPr>
            <w:tcW w:w="2480" w:type="dxa"/>
            <w:vAlign w:val="bottom"/>
            <w:gridSpan w:val="2"/>
            <w:shd w:val="clear" w:color="auto" w:fill="DBE5F1"/>
          </w:tcPr>
          <w:p>
            <w:pPr>
              <w:ind w:left="20"/>
              <w:spacing w:after="0" w:line="145" w:lineRule="exact"/>
              <w:rPr>
                <w:sz w:val="20"/>
                <w:szCs w:val="20"/>
                <w:color w:val="auto"/>
              </w:rPr>
            </w:pPr>
            <w:r>
              <w:rPr>
                <w:rFonts w:ascii="Times New Roman" w:cs="Times New Roman" w:eastAsia="Times New Roman" w:hAnsi="Times New Roman"/>
                <w:sz w:val="14"/>
                <w:szCs w:val="14"/>
                <w:color w:val="auto"/>
              </w:rPr>
              <w:t>JMP Securities</w:t>
            </w:r>
          </w:p>
        </w:tc>
        <w:tc>
          <w:tcPr>
            <w:tcW w:w="4500" w:type="dxa"/>
            <w:vAlign w:val="bottom"/>
            <w:shd w:val="clear" w:color="auto" w:fill="DBE5F1"/>
          </w:tcPr>
          <w:p>
            <w:pPr>
              <w:ind w:left="1300"/>
              <w:spacing w:after="0" w:line="145" w:lineRule="exact"/>
              <w:rPr>
                <w:sz w:val="20"/>
                <w:szCs w:val="20"/>
                <w:color w:val="auto"/>
              </w:rPr>
            </w:pPr>
            <w:r>
              <w:rPr>
                <w:rFonts w:ascii="Times New Roman" w:cs="Times New Roman" w:eastAsia="Times New Roman" w:hAnsi="Times New Roman"/>
                <w:sz w:val="14"/>
                <w:szCs w:val="14"/>
                <w:color w:val="auto"/>
              </w:rPr>
              <w:t>JPMorgan</w:t>
            </w:r>
          </w:p>
        </w:tc>
        <w:tc>
          <w:tcPr>
            <w:tcW w:w="4280" w:type="dxa"/>
            <w:vAlign w:val="bottom"/>
            <w:shd w:val="clear" w:color="auto" w:fill="DBE5F1"/>
          </w:tcPr>
          <w:p>
            <w:pPr>
              <w:ind w:left="540"/>
              <w:spacing w:after="0" w:line="145" w:lineRule="exact"/>
              <w:rPr>
                <w:sz w:val="20"/>
                <w:szCs w:val="20"/>
                <w:color w:val="auto"/>
              </w:rPr>
            </w:pPr>
            <w:r>
              <w:rPr>
                <w:rFonts w:ascii="Times New Roman" w:cs="Times New Roman" w:eastAsia="Times New Roman" w:hAnsi="Times New Roman"/>
                <w:sz w:val="14"/>
                <w:szCs w:val="14"/>
                <w:color w:val="auto"/>
              </w:rPr>
              <w:t>KeyBanc</w:t>
            </w:r>
          </w:p>
        </w:tc>
      </w:tr>
      <w:tr>
        <w:trPr>
          <w:trHeight w:val="142"/>
        </w:trPr>
        <w:tc>
          <w:tcPr>
            <w:tcW w:w="2480" w:type="dxa"/>
            <w:vAlign w:val="bottom"/>
            <w:gridSpan w:val="2"/>
            <w:shd w:val="clear" w:color="auto" w:fill="DBE5F1"/>
          </w:tcPr>
          <w:p>
            <w:pPr>
              <w:ind w:left="20"/>
              <w:spacing w:after="0" w:line="142" w:lineRule="exact"/>
              <w:rPr>
                <w:sz w:val="20"/>
                <w:szCs w:val="20"/>
                <w:color w:val="auto"/>
              </w:rPr>
            </w:pPr>
            <w:r>
              <w:rPr>
                <w:rFonts w:ascii="Times New Roman" w:cs="Times New Roman" w:eastAsia="Times New Roman" w:hAnsi="Times New Roman"/>
                <w:sz w:val="14"/>
                <w:szCs w:val="14"/>
                <w:color w:val="auto"/>
              </w:rPr>
              <w:t>Greg Miller</w:t>
            </w:r>
          </w:p>
        </w:tc>
        <w:tc>
          <w:tcPr>
            <w:tcW w:w="4500" w:type="dxa"/>
            <w:vAlign w:val="bottom"/>
            <w:shd w:val="clear" w:color="auto" w:fill="DBE5F1"/>
          </w:tcPr>
          <w:p>
            <w:pPr>
              <w:ind w:left="1300"/>
              <w:spacing w:after="0" w:line="142" w:lineRule="exact"/>
              <w:rPr>
                <w:sz w:val="20"/>
                <w:szCs w:val="20"/>
                <w:color w:val="auto"/>
              </w:rPr>
            </w:pPr>
            <w:r>
              <w:rPr>
                <w:rFonts w:ascii="Times New Roman" w:cs="Times New Roman" w:eastAsia="Times New Roman" w:hAnsi="Times New Roman"/>
                <w:sz w:val="14"/>
                <w:szCs w:val="14"/>
                <w:color w:val="auto"/>
              </w:rPr>
              <w:t>Richard Choe</w:t>
            </w:r>
          </w:p>
        </w:tc>
        <w:tc>
          <w:tcPr>
            <w:tcW w:w="4280" w:type="dxa"/>
            <w:vAlign w:val="bottom"/>
            <w:shd w:val="clear" w:color="auto" w:fill="DBE5F1"/>
          </w:tcPr>
          <w:p>
            <w:pPr>
              <w:ind w:left="540"/>
              <w:spacing w:after="0" w:line="142" w:lineRule="exact"/>
              <w:rPr>
                <w:sz w:val="20"/>
                <w:szCs w:val="20"/>
                <w:color w:val="auto"/>
              </w:rPr>
            </w:pPr>
            <w:r>
              <w:rPr>
                <w:rFonts w:ascii="Times New Roman" w:cs="Times New Roman" w:eastAsia="Times New Roman" w:hAnsi="Times New Roman"/>
                <w:sz w:val="14"/>
                <w:szCs w:val="14"/>
                <w:color w:val="auto"/>
              </w:rPr>
              <w:t>Brandon Nispel</w:t>
            </w:r>
          </w:p>
        </w:tc>
      </w:tr>
      <w:tr>
        <w:trPr>
          <w:trHeight w:val="189"/>
        </w:trPr>
        <w:tc>
          <w:tcPr>
            <w:tcW w:w="3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w w:val="98"/>
              </w:rPr>
              <w:t>(212)</w:t>
            </w:r>
          </w:p>
        </w:tc>
        <w:tc>
          <w:tcPr>
            <w:tcW w:w="2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699-2917</w:t>
            </w:r>
          </w:p>
        </w:tc>
        <w:tc>
          <w:tcPr>
            <w:tcW w:w="4500" w:type="dxa"/>
            <w:vAlign w:val="bottom"/>
            <w:shd w:val="clear" w:color="auto" w:fill="DBE5F1"/>
          </w:tcPr>
          <w:p>
            <w:pPr>
              <w:ind w:left="1300"/>
              <w:spacing w:after="0"/>
              <w:rPr>
                <w:sz w:val="20"/>
                <w:szCs w:val="20"/>
                <w:color w:val="auto"/>
              </w:rPr>
            </w:pPr>
            <w:r>
              <w:rPr>
                <w:rFonts w:ascii="Times New Roman" w:cs="Times New Roman" w:eastAsia="Times New Roman" w:hAnsi="Times New Roman"/>
                <w:sz w:val="14"/>
                <w:szCs w:val="14"/>
                <w:color w:val="auto"/>
              </w:rPr>
              <w:t>(212) 622-6708</w:t>
            </w:r>
          </w:p>
        </w:tc>
        <w:tc>
          <w:tcPr>
            <w:tcW w:w="428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4"/>
                <w:szCs w:val="14"/>
                <w:color w:val="auto"/>
              </w:rPr>
              <w:t>(503) 821-3871</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LightShed Partners</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MoffettNathanson</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Morgan Stanley</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Walter Piecyk</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Nick Del Deo</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Simon Flannery</w:t>
            </w:r>
          </w:p>
        </w:tc>
      </w:tr>
      <w:tr>
        <w:trPr>
          <w:trHeight w:val="187"/>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(646)</w:t>
            </w: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450-9258</w:t>
            </w:r>
          </w:p>
        </w:tc>
        <w:tc>
          <w:tcPr>
            <w:tcW w:w="45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(212) 519-0025</w:t>
            </w:r>
          </w:p>
        </w:tc>
        <w:tc>
          <w:tcPr>
            <w:tcW w:w="42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(212) 761-6432</w:t>
            </w:r>
          </w:p>
        </w:tc>
      </w:tr>
      <w:tr>
        <w:trPr>
          <w:trHeight w:val="144"/>
        </w:trPr>
        <w:tc>
          <w:tcPr>
            <w:tcW w:w="2480" w:type="dxa"/>
            <w:vAlign w:val="bottom"/>
            <w:gridSpan w:val="2"/>
            <w:shd w:val="clear" w:color="auto" w:fill="DBE5F1"/>
          </w:tcPr>
          <w:p>
            <w:pPr>
              <w:ind w:left="20"/>
              <w:spacing w:after="0" w:line="145" w:lineRule="exact"/>
              <w:rPr>
                <w:sz w:val="20"/>
                <w:szCs w:val="20"/>
                <w:color w:val="auto"/>
              </w:rPr>
            </w:pPr>
            <w:r>
              <w:rPr>
                <w:rFonts w:ascii="Times New Roman" w:cs="Times New Roman" w:eastAsia="Times New Roman" w:hAnsi="Times New Roman"/>
                <w:sz w:val="14"/>
                <w:szCs w:val="14"/>
                <w:color w:val="auto"/>
              </w:rPr>
              <w:t>New Street Research</w:t>
            </w:r>
          </w:p>
        </w:tc>
        <w:tc>
          <w:tcPr>
            <w:tcW w:w="4500" w:type="dxa"/>
            <w:vAlign w:val="bottom"/>
            <w:shd w:val="clear" w:color="auto" w:fill="DBE5F1"/>
          </w:tcPr>
          <w:p>
            <w:pPr>
              <w:ind w:left="1300"/>
              <w:spacing w:after="0" w:line="145" w:lineRule="exact"/>
              <w:rPr>
                <w:sz w:val="20"/>
                <w:szCs w:val="20"/>
                <w:color w:val="auto"/>
              </w:rPr>
            </w:pPr>
            <w:r>
              <w:rPr>
                <w:rFonts w:ascii="Times New Roman" w:cs="Times New Roman" w:eastAsia="Times New Roman" w:hAnsi="Times New Roman"/>
                <w:sz w:val="14"/>
                <w:szCs w:val="14"/>
                <w:color w:val="auto"/>
              </w:rPr>
              <w:t>Raymond James</w:t>
            </w:r>
          </w:p>
        </w:tc>
        <w:tc>
          <w:tcPr>
            <w:tcW w:w="4280" w:type="dxa"/>
            <w:vAlign w:val="bottom"/>
            <w:shd w:val="clear" w:color="auto" w:fill="DBE5F1"/>
          </w:tcPr>
          <w:p>
            <w:pPr>
              <w:ind w:left="540"/>
              <w:spacing w:after="0" w:line="145" w:lineRule="exact"/>
              <w:rPr>
                <w:sz w:val="20"/>
                <w:szCs w:val="20"/>
                <w:color w:val="auto"/>
              </w:rPr>
            </w:pPr>
            <w:r>
              <w:rPr>
                <w:rFonts w:ascii="Times New Roman" w:cs="Times New Roman" w:eastAsia="Times New Roman" w:hAnsi="Times New Roman"/>
                <w:sz w:val="14"/>
                <w:szCs w:val="14"/>
                <w:color w:val="auto"/>
              </w:rPr>
              <w:t>RBC Capital Markets</w:t>
            </w:r>
          </w:p>
        </w:tc>
      </w:tr>
      <w:tr>
        <w:trPr>
          <w:trHeight w:val="142"/>
        </w:trPr>
        <w:tc>
          <w:tcPr>
            <w:tcW w:w="2480" w:type="dxa"/>
            <w:vAlign w:val="bottom"/>
            <w:gridSpan w:val="2"/>
            <w:shd w:val="clear" w:color="auto" w:fill="DBE5F1"/>
          </w:tcPr>
          <w:p>
            <w:pPr>
              <w:ind w:left="20"/>
              <w:spacing w:after="0" w:line="142" w:lineRule="exact"/>
              <w:rPr>
                <w:sz w:val="20"/>
                <w:szCs w:val="20"/>
                <w:color w:val="auto"/>
              </w:rPr>
            </w:pPr>
            <w:r>
              <w:rPr>
                <w:rFonts w:ascii="Times New Roman" w:cs="Times New Roman" w:eastAsia="Times New Roman" w:hAnsi="Times New Roman"/>
                <w:sz w:val="14"/>
                <w:szCs w:val="14"/>
                <w:color w:val="auto"/>
              </w:rPr>
              <w:t>Jonathan Chaplin</w:t>
            </w:r>
          </w:p>
        </w:tc>
        <w:tc>
          <w:tcPr>
            <w:tcW w:w="4500" w:type="dxa"/>
            <w:vAlign w:val="bottom"/>
            <w:shd w:val="clear" w:color="auto" w:fill="DBE5F1"/>
          </w:tcPr>
          <w:p>
            <w:pPr>
              <w:ind w:left="1300"/>
              <w:spacing w:after="0" w:line="142" w:lineRule="exact"/>
              <w:rPr>
                <w:sz w:val="20"/>
                <w:szCs w:val="20"/>
                <w:color w:val="auto"/>
              </w:rPr>
            </w:pPr>
            <w:r>
              <w:rPr>
                <w:rFonts w:ascii="Times New Roman" w:cs="Times New Roman" w:eastAsia="Times New Roman" w:hAnsi="Times New Roman"/>
                <w:sz w:val="14"/>
                <w:szCs w:val="14"/>
                <w:color w:val="auto"/>
              </w:rPr>
              <w:t>Ric Prentiss</w:t>
            </w:r>
          </w:p>
        </w:tc>
        <w:tc>
          <w:tcPr>
            <w:tcW w:w="4280" w:type="dxa"/>
            <w:vAlign w:val="bottom"/>
            <w:shd w:val="clear" w:color="auto" w:fill="DBE5F1"/>
          </w:tcPr>
          <w:p>
            <w:pPr>
              <w:ind w:left="540"/>
              <w:spacing w:after="0" w:line="142" w:lineRule="exact"/>
              <w:rPr>
                <w:sz w:val="20"/>
                <w:szCs w:val="20"/>
                <w:color w:val="auto"/>
              </w:rPr>
            </w:pPr>
            <w:r>
              <w:rPr>
                <w:rFonts w:ascii="Times New Roman" w:cs="Times New Roman" w:eastAsia="Times New Roman" w:hAnsi="Times New Roman"/>
                <w:sz w:val="14"/>
                <w:szCs w:val="14"/>
                <w:color w:val="auto"/>
              </w:rPr>
              <w:t>Jonathan Atkin</w:t>
            </w:r>
          </w:p>
        </w:tc>
      </w:tr>
      <w:tr>
        <w:trPr>
          <w:trHeight w:val="189"/>
        </w:trPr>
        <w:tc>
          <w:tcPr>
            <w:tcW w:w="3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w w:val="98"/>
              </w:rPr>
              <w:t>(212)</w:t>
            </w:r>
          </w:p>
        </w:tc>
        <w:tc>
          <w:tcPr>
            <w:tcW w:w="2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921-9876</w:t>
            </w:r>
          </w:p>
        </w:tc>
        <w:tc>
          <w:tcPr>
            <w:tcW w:w="4500" w:type="dxa"/>
            <w:vAlign w:val="bottom"/>
            <w:shd w:val="clear" w:color="auto" w:fill="DBE5F1"/>
          </w:tcPr>
          <w:p>
            <w:pPr>
              <w:ind w:left="1300"/>
              <w:spacing w:after="0"/>
              <w:rPr>
                <w:sz w:val="20"/>
                <w:szCs w:val="20"/>
                <w:color w:val="auto"/>
              </w:rPr>
            </w:pPr>
            <w:r>
              <w:rPr>
                <w:rFonts w:ascii="Times New Roman" w:cs="Times New Roman" w:eastAsia="Times New Roman" w:hAnsi="Times New Roman"/>
                <w:sz w:val="14"/>
                <w:szCs w:val="14"/>
                <w:color w:val="auto"/>
              </w:rPr>
              <w:t>(727) 567-2567</w:t>
            </w:r>
          </w:p>
        </w:tc>
        <w:tc>
          <w:tcPr>
            <w:tcW w:w="428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4"/>
                <w:szCs w:val="14"/>
                <w:color w:val="auto"/>
              </w:rPr>
              <w:t>(415) 633-8589</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Scotiabank</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TD Cowen</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UBS</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Maher Yaghi</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Michael Elias</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Batya Levi</w:t>
            </w:r>
          </w:p>
        </w:tc>
      </w:tr>
      <w:tr>
        <w:trPr>
          <w:trHeight w:val="187"/>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(437)</w:t>
            </w: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995-5548</w:t>
            </w:r>
          </w:p>
        </w:tc>
        <w:tc>
          <w:tcPr>
            <w:tcW w:w="45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(646) 562-1358</w:t>
            </w:r>
          </w:p>
        </w:tc>
        <w:tc>
          <w:tcPr>
            <w:tcW w:w="42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(212) 713-8824</w:t>
            </w:r>
          </w:p>
        </w:tc>
      </w:tr>
      <w:tr>
        <w:trPr>
          <w:trHeight w:val="144"/>
        </w:trPr>
        <w:tc>
          <w:tcPr>
            <w:tcW w:w="2480" w:type="dxa"/>
            <w:vAlign w:val="bottom"/>
            <w:gridSpan w:val="2"/>
            <w:shd w:val="clear" w:color="auto" w:fill="DBE5F1"/>
          </w:tcPr>
          <w:p>
            <w:pPr>
              <w:ind w:left="20"/>
              <w:spacing w:after="0" w:line="145" w:lineRule="exact"/>
              <w:rPr>
                <w:sz w:val="20"/>
                <w:szCs w:val="20"/>
                <w:color w:val="auto"/>
              </w:rPr>
            </w:pPr>
            <w:r>
              <w:rPr>
                <w:rFonts w:ascii="Times New Roman" w:cs="Times New Roman" w:eastAsia="Times New Roman" w:hAnsi="Times New Roman"/>
                <w:sz w:val="14"/>
                <w:szCs w:val="14"/>
                <w:color w:val="auto"/>
              </w:rPr>
              <w:t>Wells Fargo</w:t>
            </w:r>
          </w:p>
        </w:tc>
        <w:tc>
          <w:tcPr>
            <w:tcW w:w="4500" w:type="dxa"/>
            <w:vAlign w:val="bottom"/>
            <w:shd w:val="clear" w:color="auto" w:fill="DBE5F1"/>
          </w:tcPr>
          <w:p>
            <w:pPr>
              <w:ind w:left="1300"/>
              <w:spacing w:after="0" w:line="145" w:lineRule="exact"/>
              <w:rPr>
                <w:sz w:val="20"/>
                <w:szCs w:val="20"/>
                <w:color w:val="auto"/>
              </w:rPr>
            </w:pPr>
            <w:r>
              <w:rPr>
                <w:rFonts w:ascii="Times New Roman" w:cs="Times New Roman" w:eastAsia="Times New Roman" w:hAnsi="Times New Roman"/>
                <w:sz w:val="14"/>
                <w:szCs w:val="14"/>
                <w:color w:val="auto"/>
              </w:rPr>
              <w:t>Wolfe Research</w:t>
            </w:r>
          </w:p>
        </w:tc>
        <w:tc>
          <w:tcPr>
            <w:tcW w:w="4280" w:type="dxa"/>
            <w:vAlign w:val="bottom"/>
            <w:shd w:val="clear" w:color="auto" w:fill="DBE5F1"/>
          </w:tcPr>
          <w:p>
            <w:pPr>
              <w:spacing w:after="0"/>
              <w:rPr>
                <w:sz w:val="12"/>
                <w:szCs w:val="12"/>
                <w:color w:val="auto"/>
              </w:rPr>
            </w:pPr>
          </w:p>
        </w:tc>
      </w:tr>
      <w:tr>
        <w:trPr>
          <w:trHeight w:val="142"/>
        </w:trPr>
        <w:tc>
          <w:tcPr>
            <w:tcW w:w="2480" w:type="dxa"/>
            <w:vAlign w:val="bottom"/>
            <w:gridSpan w:val="2"/>
            <w:shd w:val="clear" w:color="auto" w:fill="DBE5F1"/>
          </w:tcPr>
          <w:p>
            <w:pPr>
              <w:ind w:left="20"/>
              <w:spacing w:after="0" w:line="142" w:lineRule="exact"/>
              <w:rPr>
                <w:sz w:val="20"/>
                <w:szCs w:val="20"/>
                <w:color w:val="auto"/>
              </w:rPr>
            </w:pPr>
            <w:r>
              <w:rPr>
                <w:rFonts w:ascii="Times New Roman" w:cs="Times New Roman" w:eastAsia="Times New Roman" w:hAnsi="Times New Roman"/>
                <w:sz w:val="14"/>
                <w:szCs w:val="14"/>
                <w:color w:val="auto"/>
              </w:rPr>
              <w:t>Eric Luebchow</w:t>
            </w:r>
          </w:p>
        </w:tc>
        <w:tc>
          <w:tcPr>
            <w:tcW w:w="4500" w:type="dxa"/>
            <w:vAlign w:val="bottom"/>
            <w:shd w:val="clear" w:color="auto" w:fill="DBE5F1"/>
          </w:tcPr>
          <w:p>
            <w:pPr>
              <w:ind w:left="1300"/>
              <w:spacing w:after="0" w:line="142" w:lineRule="exact"/>
              <w:rPr>
                <w:sz w:val="20"/>
                <w:szCs w:val="20"/>
                <w:color w:val="auto"/>
              </w:rPr>
            </w:pPr>
            <w:r>
              <w:rPr>
                <w:rFonts w:ascii="Times New Roman" w:cs="Times New Roman" w:eastAsia="Times New Roman" w:hAnsi="Times New Roman"/>
                <w:sz w:val="14"/>
                <w:szCs w:val="14"/>
                <w:color w:val="auto"/>
              </w:rPr>
              <w:t>Andrew Rosivach</w:t>
            </w:r>
          </w:p>
        </w:tc>
        <w:tc>
          <w:tcPr>
            <w:tcW w:w="4280" w:type="dxa"/>
            <w:vAlign w:val="bottom"/>
            <w:shd w:val="clear" w:color="auto" w:fill="DBE5F1"/>
          </w:tcPr>
          <w:p>
            <w:pPr>
              <w:spacing w:after="0"/>
              <w:rPr>
                <w:sz w:val="12"/>
                <w:szCs w:val="12"/>
                <w:color w:val="auto"/>
              </w:rPr>
            </w:pPr>
          </w:p>
        </w:tc>
      </w:tr>
      <w:tr>
        <w:trPr>
          <w:trHeight w:val="187"/>
        </w:trPr>
        <w:tc>
          <w:tcPr>
            <w:tcW w:w="34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w w:val="98"/>
              </w:rPr>
              <w:t>(312)</w:t>
            </w:r>
          </w:p>
        </w:tc>
        <w:tc>
          <w:tcPr>
            <w:tcW w:w="214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630-2386</w:t>
            </w:r>
          </w:p>
        </w:tc>
        <w:tc>
          <w:tcPr>
            <w:tcW w:w="4500" w:type="dxa"/>
            <w:vAlign w:val="bottom"/>
            <w:tcBorders>
              <w:bottom w:val="single" w:sz="8" w:color="auto"/>
            </w:tcBorders>
            <w:shd w:val="clear" w:color="auto" w:fill="DBE5F1"/>
          </w:tcPr>
          <w:p>
            <w:pPr>
              <w:ind w:left="1300"/>
              <w:spacing w:after="0"/>
              <w:rPr>
                <w:sz w:val="20"/>
                <w:szCs w:val="20"/>
                <w:color w:val="auto"/>
              </w:rPr>
            </w:pPr>
            <w:r>
              <w:rPr>
                <w:rFonts w:ascii="Times New Roman" w:cs="Times New Roman" w:eastAsia="Times New Roman" w:hAnsi="Times New Roman"/>
                <w:sz w:val="14"/>
                <w:szCs w:val="14"/>
                <w:color w:val="auto"/>
              </w:rPr>
              <w:t>(646) 582-9350</w:t>
            </w:r>
          </w:p>
        </w:tc>
        <w:tc>
          <w:tcPr>
            <w:tcW w:w="4280" w:type="dxa"/>
            <w:vAlign w:val="bottom"/>
            <w:tcBorders>
              <w:bottom w:val="single" w:sz="8" w:color="auto"/>
            </w:tcBorders>
            <w:shd w:val="clear" w:color="auto" w:fill="DBE5F1"/>
          </w:tcPr>
          <w:p>
            <w:pPr>
              <w:spacing w:after="0"/>
              <w:rPr>
                <w:sz w:val="16"/>
                <w:szCs w:val="16"/>
                <w:color w:val="auto"/>
              </w:rPr>
            </w:pPr>
          </w:p>
        </w:tc>
      </w:tr>
      <w:tr>
        <w:trPr>
          <w:trHeight w:val="182"/>
        </w:trPr>
        <w:tc>
          <w:tcPr>
            <w:tcW w:w="340" w:type="dxa"/>
            <w:vAlign w:val="bottom"/>
            <w:tcBorders>
              <w:bottom w:val="single" w:sz="8" w:color="auto"/>
            </w:tcBorders>
            <w:shd w:val="clear" w:color="auto" w:fill="D9D9D9"/>
          </w:tcPr>
          <w:p>
            <w:pPr>
              <w:spacing w:after="0"/>
              <w:rPr>
                <w:sz w:val="15"/>
                <w:szCs w:val="15"/>
                <w:color w:val="auto"/>
              </w:rPr>
            </w:pPr>
          </w:p>
        </w:tc>
        <w:tc>
          <w:tcPr>
            <w:tcW w:w="2140" w:type="dxa"/>
            <w:vAlign w:val="bottom"/>
            <w:tcBorders>
              <w:bottom w:val="single" w:sz="8" w:color="auto"/>
            </w:tcBorders>
            <w:shd w:val="clear" w:color="auto" w:fill="D9D9D9"/>
          </w:tcPr>
          <w:p>
            <w:pPr>
              <w:spacing w:after="0"/>
              <w:rPr>
                <w:sz w:val="15"/>
                <w:szCs w:val="15"/>
                <w:color w:val="auto"/>
              </w:rPr>
            </w:pPr>
          </w:p>
        </w:tc>
        <w:tc>
          <w:tcPr>
            <w:tcW w:w="4500" w:type="dxa"/>
            <w:vAlign w:val="bottom"/>
            <w:tcBorders>
              <w:bottom w:val="single" w:sz="8" w:color="auto"/>
            </w:tcBorders>
            <w:shd w:val="clear" w:color="auto" w:fill="D9D9D9"/>
          </w:tcPr>
          <w:p>
            <w:pPr>
              <w:jc w:val="center"/>
              <w:ind w:left="1729"/>
              <w:spacing w:after="0"/>
              <w:rPr>
                <w:sz w:val="20"/>
                <w:szCs w:val="20"/>
                <w:color w:val="auto"/>
              </w:rPr>
            </w:pPr>
            <w:r>
              <w:rPr>
                <w:rFonts w:ascii="Times New Roman" w:cs="Times New Roman" w:eastAsia="Times New Roman" w:hAnsi="Times New Roman"/>
                <w:sz w:val="14"/>
                <w:szCs w:val="14"/>
                <w:b w:val="1"/>
                <w:bCs w:val="1"/>
                <w:color w:val="auto"/>
              </w:rPr>
              <w:t>Rating Agencies</w:t>
            </w:r>
          </w:p>
        </w:tc>
        <w:tc>
          <w:tcPr>
            <w:tcW w:w="4280" w:type="dxa"/>
            <w:vAlign w:val="bottom"/>
            <w:tcBorders>
              <w:bottom w:val="single" w:sz="8" w:color="auto"/>
            </w:tcBorders>
            <w:shd w:val="clear" w:color="auto" w:fill="D9D9D9"/>
          </w:tcPr>
          <w:p>
            <w:pPr>
              <w:spacing w:after="0"/>
              <w:rPr>
                <w:sz w:val="15"/>
                <w:szCs w:val="15"/>
                <w:color w:val="auto"/>
              </w:rPr>
            </w:pPr>
          </w:p>
        </w:tc>
      </w:tr>
      <w:tr>
        <w:trPr>
          <w:trHeight w:val="135"/>
        </w:trPr>
        <w:tc>
          <w:tcPr>
            <w:tcW w:w="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Fitch</w:t>
            </w:r>
          </w:p>
        </w:tc>
        <w:tc>
          <w:tcPr>
            <w:tcW w:w="2140" w:type="dxa"/>
            <w:vAlign w:val="bottom"/>
          </w:tcPr>
          <w:p>
            <w:pPr>
              <w:spacing w:after="0"/>
              <w:rPr>
                <w:sz w:val="11"/>
                <w:szCs w:val="11"/>
                <w:color w:val="auto"/>
              </w:rPr>
            </w:pPr>
          </w:p>
        </w:tc>
        <w:tc>
          <w:tcPr>
            <w:tcW w:w="4500" w:type="dxa"/>
            <w:vAlign w:val="bottom"/>
          </w:tcPr>
          <w:p>
            <w:pPr>
              <w:ind w:left="1300"/>
              <w:spacing w:after="0" w:line="135" w:lineRule="exact"/>
              <w:rPr>
                <w:sz w:val="20"/>
                <w:szCs w:val="20"/>
                <w:color w:val="auto"/>
              </w:rPr>
            </w:pPr>
            <w:r>
              <w:rPr>
                <w:rFonts w:ascii="Times New Roman" w:cs="Times New Roman" w:eastAsia="Times New Roman" w:hAnsi="Times New Roman"/>
                <w:sz w:val="14"/>
                <w:szCs w:val="14"/>
                <w:color w:val="auto"/>
              </w:rPr>
              <w:t>Moody’s</w:t>
            </w:r>
          </w:p>
        </w:tc>
        <w:tc>
          <w:tcPr>
            <w:tcW w:w="4280" w:type="dxa"/>
            <w:vAlign w:val="bottom"/>
          </w:tcPr>
          <w:p>
            <w:pPr>
              <w:ind w:left="540"/>
              <w:spacing w:after="0" w:line="135" w:lineRule="exact"/>
              <w:rPr>
                <w:sz w:val="20"/>
                <w:szCs w:val="20"/>
                <w:color w:val="auto"/>
              </w:rPr>
            </w:pPr>
            <w:r>
              <w:rPr>
                <w:rFonts w:ascii="Times New Roman" w:cs="Times New Roman" w:eastAsia="Times New Roman" w:hAnsi="Times New Roman"/>
                <w:sz w:val="14"/>
                <w:szCs w:val="14"/>
                <w:color w:val="auto"/>
              </w:rPr>
              <w:t>Standard &amp; Poor’s</w:t>
            </w:r>
          </w:p>
        </w:tc>
      </w:tr>
      <w:tr>
        <w:trPr>
          <w:trHeight w:val="142"/>
        </w:trPr>
        <w:tc>
          <w:tcPr>
            <w:tcW w:w="2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Salonie Sehgal</w:t>
            </w:r>
          </w:p>
        </w:tc>
        <w:tc>
          <w:tcPr>
            <w:tcW w:w="4500" w:type="dxa"/>
            <w:vAlign w:val="bottom"/>
          </w:tcPr>
          <w:p>
            <w:pPr>
              <w:ind w:left="1300"/>
              <w:spacing w:after="0" w:line="142" w:lineRule="exact"/>
              <w:rPr>
                <w:sz w:val="20"/>
                <w:szCs w:val="20"/>
                <w:color w:val="auto"/>
              </w:rPr>
            </w:pPr>
            <w:r>
              <w:rPr>
                <w:rFonts w:ascii="Times New Roman" w:cs="Times New Roman" w:eastAsia="Times New Roman" w:hAnsi="Times New Roman"/>
                <w:sz w:val="14"/>
                <w:szCs w:val="14"/>
                <w:color w:val="auto"/>
              </w:rPr>
              <w:t>Ranjini Venkatesan</w:t>
            </w:r>
          </w:p>
        </w:tc>
        <w:tc>
          <w:tcPr>
            <w:tcW w:w="428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Ryan Gilmore</w:t>
            </w:r>
          </w:p>
        </w:tc>
      </w:tr>
      <w:tr>
        <w:trPr>
          <w:trHeight w:val="184"/>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(312)</w:t>
            </w: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368-3137</w:t>
            </w:r>
          </w:p>
        </w:tc>
        <w:tc>
          <w:tcPr>
            <w:tcW w:w="450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(212) 553-3828</w:t>
            </w:r>
          </w:p>
        </w:tc>
        <w:tc>
          <w:tcPr>
            <w:tcW w:w="42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(212) 438-0602</w:t>
            </w:r>
          </w:p>
        </w:tc>
      </w:tr>
    </w:tbl>
    <w:p>
      <w:pPr>
        <w:spacing w:after="0" w:line="198" w:lineRule="exact"/>
        <w:rPr>
          <w:sz w:val="20"/>
          <w:szCs w:val="20"/>
          <w:color w:val="auto"/>
        </w:rPr>
      </w:pPr>
    </w:p>
    <w:p>
      <w:pPr>
        <w:ind w:left="285" w:hanging="285"/>
        <w:spacing w:after="0"/>
        <w:tabs>
          <w:tab w:leader="none" w:pos="285"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Nominating, Environmental, Social and Governance Committee.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65"/>
          </w:cols>
          <w:pgMar w:left="315" w:top="120" w:right="319" w:bottom="1440" w:gutter="0" w:footer="0" w:header="0"/>
        </w:sectPr>
      </w:pPr>
    </w:p>
    <w:bookmarkStart w:id="40" w:name="page41"/>
    <w:bookmarkEnd w:id="40"/>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OUTLOOK</w:t>
      </w:r>
    </w:p>
    <w:p>
      <w:pPr>
        <w:spacing w:after="0" w:line="25" w:lineRule="exact"/>
        <w:rPr>
          <w:sz w:val="20"/>
          <w:szCs w:val="20"/>
          <w:color w:val="auto"/>
        </w:rPr>
      </w:pPr>
    </w:p>
    <w:tbl>
      <w:tblPr>
        <w:tblLayout w:type="fixed"/>
        <w:tblInd w:w="25" w:type="dxa"/>
        <w:tblCellMar>
          <w:top w:w="0" w:type="dxa"/>
          <w:left w:w="0" w:type="dxa"/>
          <w:bottom w:w="0" w:type="dxa"/>
          <w:right w:w="0" w:type="dxa"/>
        </w:tblCellMar>
      </w:tblPr>
      <w:tr>
        <w:trPr>
          <w:trHeight w:val="186"/>
        </w:trPr>
        <w:tc>
          <w:tcPr>
            <w:tcW w:w="6580" w:type="dxa"/>
            <w:vAlign w:val="bottom"/>
            <w:tcBorders>
              <w:top w:val="single" w:sz="8" w:color="auto"/>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4620" w:type="dxa"/>
            <w:vAlign w:val="bottom"/>
            <w:tcBorders>
              <w:top w:val="single" w:sz="8" w:color="auto"/>
              <w:bottom w:val="single" w:sz="8" w:color="auto"/>
            </w:tcBorders>
            <w:gridSpan w:val="3"/>
            <w:shd w:val="clear" w:color="auto" w:fill="DBDBDB"/>
          </w:tcPr>
          <w:p>
            <w:pPr>
              <w:jc w:val="center"/>
              <w:ind w:left="2349"/>
              <w:spacing w:after="0" w:line="187" w:lineRule="exact"/>
              <w:rPr>
                <w:sz w:val="20"/>
                <w:szCs w:val="20"/>
                <w:color w:val="auto"/>
              </w:rPr>
            </w:pPr>
            <w:r>
              <w:rPr>
                <w:rFonts w:ascii="Times New Roman" w:cs="Times New Roman" w:eastAsia="Times New Roman" w:hAnsi="Times New Roman"/>
                <w:sz w:val="14"/>
                <w:szCs w:val="14"/>
                <w:b w:val="1"/>
                <w:bCs w:val="1"/>
                <w:color w:val="auto"/>
                <w:w w:val="97"/>
              </w:rPr>
              <w:t>Full Year 2025 Outlook</w:t>
            </w:r>
            <w:r>
              <w:rPr>
                <w:rFonts w:ascii="Times New Roman" w:cs="Times New Roman" w:eastAsia="Times New Roman" w:hAnsi="Times New Roman"/>
                <w:sz w:val="18"/>
                <w:szCs w:val="18"/>
                <w:b w:val="1"/>
                <w:bCs w:val="1"/>
                <w:color w:val="auto"/>
                <w:w w:val="97"/>
                <w:vertAlign w:val="superscript"/>
              </w:rPr>
              <w:t>(a)</w:t>
            </w:r>
          </w:p>
        </w:tc>
      </w:tr>
      <w:tr>
        <w:trPr>
          <w:trHeight w:val="181"/>
        </w:trPr>
        <w:tc>
          <w:tcPr>
            <w:tcW w:w="65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(b)</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$3,915</w:t>
            </w:r>
          </w:p>
        </w:tc>
      </w:tr>
      <w:tr>
        <w:trPr>
          <w:trHeight w:val="189"/>
        </w:trPr>
        <w:tc>
          <w:tcPr>
            <w:tcW w:w="6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$110</w:t>
            </w:r>
          </w:p>
        </w:tc>
      </w:t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Straight-lined revenues</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6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Site rental revenues</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$4,032</w:t>
            </w:r>
          </w:p>
        </w:tc>
      </w:tr>
      <w:tr>
        <w:trPr>
          <w:trHeight w:val="192"/>
        </w:trPr>
        <w:tc>
          <w:tcPr>
            <w:tcW w:w="658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Site rental costs of operations</w:t>
            </w:r>
            <w:r>
              <w:rPr>
                <w:rFonts w:ascii="Times New Roman" w:cs="Times New Roman" w:eastAsia="Times New Roman" w:hAnsi="Times New Roman"/>
                <w:sz w:val="18"/>
                <w:szCs w:val="18"/>
                <w:color w:val="auto"/>
                <w:vertAlign w:val="superscript"/>
              </w:rPr>
              <w:t>(d)</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$1,032</w:t>
            </w:r>
          </w:p>
        </w:tc>
      </w:t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Services and other gross margin</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$100</w:t>
            </w:r>
          </w:p>
        </w:tc>
      </w:tr>
      <w:tr>
        <w:trPr>
          <w:trHeight w:val="192"/>
        </w:trPr>
        <w:tc>
          <w:tcPr>
            <w:tcW w:w="658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8"/>
                <w:szCs w:val="18"/>
                <w:color w:val="auto"/>
                <w:vertAlign w:val="superscript"/>
              </w:rPr>
              <w:t>(c)</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$345</w:t>
            </w:r>
          </w:p>
        </w:tc>
      </w:tr>
      <w:tr>
        <w:trPr>
          <w:trHeight w:val="189"/>
        </w:trPr>
        <w:tc>
          <w:tcPr>
            <w:tcW w:w="65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Net income (loss) per share—diluted</w:t>
            </w:r>
            <w:r>
              <w:rPr>
                <w:rFonts w:ascii="Times New Roman" w:cs="Times New Roman" w:eastAsia="Times New Roman" w:hAnsi="Times New Roman"/>
                <w:sz w:val="18"/>
                <w:szCs w:val="18"/>
                <w:color w:val="auto"/>
                <w:vertAlign w:val="superscript"/>
              </w:rPr>
              <w:t>(c)</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$0.79</w:t>
            </w:r>
          </w:p>
        </w:tc>
      </w:tr>
      <w:tr>
        <w:trPr>
          <w:trHeight w:val="189"/>
        </w:trPr>
        <w:tc>
          <w:tcPr>
            <w:tcW w:w="658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(e)</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$2,805</w:t>
            </w: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$773</w:t>
            </w:r>
          </w:p>
        </w:tc>
      </w:tr>
      <w:tr>
        <w:trPr>
          <w:trHeight w:val="216"/>
        </w:trPr>
        <w:tc>
          <w:tcPr>
            <w:tcW w:w="6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Interest expense and amortization of deferred financing costs, net</w:t>
            </w:r>
            <w:r>
              <w:rPr>
                <w:rFonts w:ascii="Times New Roman" w:cs="Times New Roman" w:eastAsia="Times New Roman" w:hAnsi="Times New Roman"/>
                <w:sz w:val="18"/>
                <w:szCs w:val="18"/>
                <w:color w:val="auto"/>
                <w:vertAlign w:val="superscript"/>
              </w:rPr>
              <w:t>(f)</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$1,027</w:t>
            </w:r>
          </w:p>
        </w:tc>
      </w:tr>
      <w:tr>
        <w:trPr>
          <w:trHeight w:val="213"/>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from discontinued operations</w:t>
            </w:r>
            <w:r>
              <w:rPr>
                <w:rFonts w:ascii="Times New Roman" w:cs="Times New Roman" w:eastAsia="Times New Roman" w:hAnsi="Times New Roman"/>
                <w:sz w:val="18"/>
                <w:szCs w:val="18"/>
                <w:color w:val="auto"/>
                <w:vertAlign w:val="superscript"/>
              </w:rPr>
              <w:t>(g)</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 ($590)</w:t>
            </w:r>
          </w:p>
        </w:tc>
      </w:tr>
      <w:tr>
        <w:trPr>
          <w:trHeight w:val="189"/>
        </w:trPr>
        <w:tc>
          <w:tcPr>
            <w:tcW w:w="6580" w:type="dxa"/>
            <w:vAlign w:val="bottom"/>
            <w:shd w:val="clear" w:color="auto" w:fill="DBE5F1"/>
          </w:tcPr>
          <w:p>
            <w:pPr>
              <w:ind w:left="20"/>
              <w:spacing w:after="0" w:line="190" w:lineRule="exact"/>
              <w:rPr>
                <w:sz w:val="20"/>
                <w:szCs w:val="20"/>
                <w:color w:val="auto"/>
              </w:rPr>
            </w:pPr>
            <w:r>
              <w:rPr>
                <w:rFonts w:ascii="Times New Roman" w:cs="Times New Roman" w:eastAsia="Times New Roman" w:hAnsi="Times New Roman"/>
                <w:sz w:val="21"/>
                <w:szCs w:val="21"/>
                <w:color w:val="auto"/>
                <w:vertAlign w:val="subscript"/>
              </w:rPr>
              <w:t>FFO</w:t>
            </w:r>
            <w:r>
              <w:rPr>
                <w:rFonts w:ascii="Times New Roman" w:cs="Times New Roman" w:eastAsia="Times New Roman" w:hAnsi="Times New Roman"/>
                <w:sz w:val="8"/>
                <w:szCs w:val="8"/>
                <w:color w:val="auto"/>
              </w:rPr>
              <w:t>(e)</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$1,640</w:t>
            </w:r>
          </w:p>
        </w:tc>
      </w:tr>
      <w:tr>
        <w:trPr>
          <w:trHeight w:val="189"/>
        </w:trPr>
        <w:tc>
          <w:tcPr>
            <w:tcW w:w="65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AFFO</w:t>
            </w:r>
            <w:r>
              <w:rPr>
                <w:rFonts w:ascii="Times New Roman" w:cs="Times New Roman" w:eastAsia="Times New Roman" w:hAnsi="Times New Roman"/>
                <w:sz w:val="18"/>
                <w:szCs w:val="18"/>
                <w:color w:val="auto"/>
                <w:vertAlign w:val="superscript"/>
              </w:rPr>
              <w:t>(e)</w:t>
            </w:r>
          </w:p>
        </w:tc>
        <w:tc>
          <w:tcPr>
            <w:tcW w:w="3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$1,820</w:t>
            </w:r>
          </w:p>
        </w:tc>
      </w:tr>
      <w:tr>
        <w:trPr>
          <w:trHeight w:val="237"/>
        </w:trPr>
        <w:tc>
          <w:tcPr>
            <w:tcW w:w="6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AFFO per share</w:t>
            </w:r>
            <w:r>
              <w:rPr>
                <w:rFonts w:ascii="Times New Roman" w:cs="Times New Roman" w:eastAsia="Times New Roman" w:hAnsi="Times New Roman"/>
                <w:sz w:val="18"/>
                <w:szCs w:val="18"/>
                <w:color w:val="auto"/>
                <w:vertAlign w:val="superscript"/>
              </w:rPr>
              <w:t>(e)</w:t>
            </w:r>
          </w:p>
        </w:tc>
        <w:tc>
          <w:tcPr>
            <w:tcW w:w="34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100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$4.17</w:t>
            </w:r>
          </w:p>
        </w:tc>
      </w:tr>
    </w:tbl>
    <w:p>
      <w:pPr>
        <w:spacing w:after="0" w:line="205" w:lineRule="exact"/>
        <w:rPr>
          <w:sz w:val="20"/>
          <w:szCs w:val="20"/>
          <w:color w:val="auto"/>
        </w:rPr>
      </w:pPr>
    </w:p>
    <w:p>
      <w:pPr>
        <w:jc w:val="both"/>
        <w:ind w:left="285" w:hanging="285"/>
        <w:spacing w:after="0" w:line="246" w:lineRule="auto"/>
        <w:tabs>
          <w:tab w:leader="none" w:pos="283"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 Full year 2025 Outlook does not include income contributions from the Fiber segment, except net income (loss) and net income (loss) per share. Additionally, full year 2025 Outlook does not assume any receipt or use of proceeds from the Strategic Fiber Transaction and reflects the full impact of all corporate financing costs and a significant majority of corporate selling, general and administrative expenses.</w:t>
      </w:r>
    </w:p>
    <w:p>
      <w:pPr>
        <w:ind w:left="285" w:hanging="285"/>
        <w:spacing w:after="0" w:line="246" w:lineRule="auto"/>
        <w:tabs>
          <w:tab w:leader="none" w:pos="27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and Organic Contribution to Site Rental Billings as Adjusted for Impact of Sprint Cancellations.</w:t>
      </w:r>
    </w:p>
    <w:p>
      <w:pPr>
        <w:spacing w:after="0" w:line="1"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 from discontinued operations.</w:t>
      </w:r>
    </w:p>
    <w:p>
      <w:pPr>
        <w:ind w:left="285" w:hanging="285"/>
        <w:spacing w:after="0"/>
        <w:tabs>
          <w:tab w:leader="none" w:pos="28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w:t>
      </w:r>
    </w:p>
    <w:p>
      <w:pPr>
        <w:ind w:left="285" w:hanging="285"/>
        <w:spacing w:after="0"/>
        <w:tabs>
          <w:tab w:leader="none" w:pos="28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 including on a per share basis.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our reconciliation of "</w:t>
      </w:r>
      <w:r>
        <w:rPr>
          <w:rFonts w:ascii="Times New Roman" w:cs="Times New Roman" w:eastAsia="Times New Roman" w:hAnsi="Times New Roman"/>
          <w:sz w:val="13"/>
          <w:szCs w:val="13"/>
          <w:i w:val="1"/>
          <w:iCs w:val="1"/>
          <w:color w:val="auto"/>
        </w:rPr>
        <w:t>Outlook for Components of Interest Expense</w:t>
      </w:r>
      <w:r>
        <w:rPr>
          <w:rFonts w:ascii="Times New Roman" w:cs="Times New Roman" w:eastAsia="Times New Roman" w:hAnsi="Times New Roman"/>
          <w:sz w:val="13"/>
          <w:szCs w:val="13"/>
          <w:color w:val="auto"/>
        </w:rPr>
        <w:t>" for a discussion of non-cash interest expense.</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65"/>
          </w:cols>
          <w:pgMar w:left="315" w:top="120" w:right="319" w:bottom="1440" w:gutter="0" w:footer="0" w:header="0"/>
        </w:sectPr>
      </w:pPr>
    </w:p>
    <w:bookmarkStart w:id="41" w:name="page42"/>
    <w:bookmarkEnd w:id="41"/>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OUTLOOK FOR COMPONENTS OF CHANGES IN SITE RENTAL REVENUES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98"/>
        </w:trPr>
        <w:tc>
          <w:tcPr>
            <w:tcW w:w="9080" w:type="dxa"/>
            <w:vAlign w:val="bottom"/>
            <w:tcBorders>
              <w:top w:val="single" w:sz="8" w:color="auto"/>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480" w:type="dxa"/>
            <w:vAlign w:val="bottom"/>
            <w:tcBorders>
              <w:top w:val="single" w:sz="8" w:color="auto"/>
              <w:bottom w:val="single" w:sz="8" w:color="auto"/>
            </w:tcBorders>
            <w:shd w:val="clear" w:color="auto" w:fill="DBDBDB"/>
          </w:tcPr>
          <w:p>
            <w:pPr>
              <w:spacing w:after="0"/>
              <w:rPr>
                <w:sz w:val="17"/>
                <w:szCs w:val="17"/>
                <w:color w:val="auto"/>
              </w:rPr>
            </w:pPr>
          </w:p>
        </w:tc>
        <w:tc>
          <w:tcPr>
            <w:tcW w:w="1700" w:type="dxa"/>
            <w:vAlign w:val="bottom"/>
            <w:tcBorders>
              <w:top w:val="single" w:sz="8" w:color="auto"/>
              <w:bottom w:val="single" w:sz="8" w:color="auto"/>
            </w:tcBorders>
            <w:gridSpan w:val="3"/>
            <w:shd w:val="clear" w:color="auto" w:fill="DBDBDB"/>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7"/>
              </w:rPr>
              <w:t>Full Year 2025 Outlook</w:t>
            </w:r>
            <w:r>
              <w:rPr>
                <w:rFonts w:ascii="Times New Roman" w:cs="Times New Roman" w:eastAsia="Times New Roman" w:hAnsi="Times New Roman"/>
                <w:sz w:val="18"/>
                <w:szCs w:val="18"/>
                <w:b w:val="1"/>
                <w:bCs w:val="1"/>
                <w:color w:val="auto"/>
                <w:w w:val="97"/>
                <w:vertAlign w:val="superscript"/>
              </w:rPr>
              <w:t>(a)</w:t>
            </w:r>
          </w:p>
        </w:tc>
      </w:tr>
      <w:tr>
        <w:trPr>
          <w:trHeight w:val="179"/>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2"/>
        </w:trPr>
        <w:tc>
          <w:tcPr>
            <w:tcW w:w="90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Prior year Tower segment site rental billings</w:t>
            </w:r>
            <w:r>
              <w:rPr>
                <w:rFonts w:ascii="Times New Roman" w:cs="Times New Roman" w:eastAsia="Times New Roman" w:hAnsi="Times New Roman"/>
                <w:sz w:val="18"/>
                <w:szCs w:val="18"/>
                <w:color w:val="auto"/>
                <w:vertAlign w:val="superscript"/>
              </w:rPr>
              <w:t>(b)(c)</w:t>
            </w:r>
          </w:p>
        </w:tc>
        <w:tc>
          <w:tcPr>
            <w:tcW w:w="2180" w:type="dxa"/>
            <w:vAlign w:val="bottom"/>
            <w:gridSpan w:val="4"/>
            <w:shd w:val="clear" w:color="auto" w:fill="DBE5F1"/>
          </w:tcPr>
          <w:p>
            <w:pPr>
              <w:jc w:val="center"/>
              <w:ind w:left="409"/>
              <w:spacing w:after="0"/>
              <w:rPr>
                <w:sz w:val="20"/>
                <w:szCs w:val="20"/>
                <w:color w:val="auto"/>
              </w:rPr>
            </w:pPr>
            <w:r>
              <w:rPr>
                <w:rFonts w:ascii="Times New Roman" w:cs="Times New Roman" w:eastAsia="Times New Roman" w:hAnsi="Times New Roman"/>
                <w:sz w:val="14"/>
                <w:szCs w:val="14"/>
                <w:color w:val="auto"/>
                <w:w w:val="98"/>
              </w:rPr>
              <w:t>$3,931</w:t>
            </w:r>
          </w:p>
        </w:tc>
      </w:tr>
      <w:tr>
        <w:trPr>
          <w:trHeight w:val="47"/>
        </w:trPr>
        <w:tc>
          <w:tcPr>
            <w:tcW w:w="9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89"/>
        </w:trPr>
        <w:tc>
          <w:tcPr>
            <w:tcW w:w="908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(b)(d)</w:t>
            </w:r>
          </w:p>
        </w:tc>
        <w:tc>
          <w:tcPr>
            <w:tcW w:w="11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$115</w:t>
            </w:r>
          </w:p>
        </w:tc>
      </w:tr>
      <w:tr>
        <w:trPr>
          <w:trHeight w:val="187"/>
        </w:trPr>
        <w:tc>
          <w:tcPr>
            <w:tcW w:w="9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w:t>
            </w:r>
          </w:p>
        </w:tc>
      </w:tr>
      <w:tr>
        <w:trPr>
          <w:trHeight w:val="192"/>
        </w:trPr>
        <w:tc>
          <w:tcPr>
            <w:tcW w:w="90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(b)</w:t>
            </w:r>
          </w:p>
        </w:tc>
        <w:tc>
          <w:tcPr>
            <w:tcW w:w="11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$(25)</w:t>
            </w:r>
          </w:p>
        </w:tc>
      </w:tr>
      <w:tr>
        <w:trPr>
          <w:trHeight w:val="189"/>
        </w:trPr>
        <w:tc>
          <w:tcPr>
            <w:tcW w:w="908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(b)</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w:t>
            </w:r>
          </w:p>
        </w:tc>
      </w:tr>
      <w:tr>
        <w:trPr>
          <w:trHeight w:val="181"/>
        </w:trPr>
        <w:tc>
          <w:tcPr>
            <w:tcW w:w="9080" w:type="dxa"/>
            <w:vAlign w:val="bottom"/>
            <w:tcBorders>
              <w:top w:val="single" w:sz="8" w:color="DBE5F1"/>
            </w:tcBorders>
            <w:shd w:val="clear" w:color="auto" w:fill="DBE5F1"/>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w:t>
            </w:r>
            <w:r>
              <w:rPr>
                <w:rFonts w:ascii="Times New Roman" w:cs="Times New Roman" w:eastAsia="Times New Roman" w:hAnsi="Times New Roman"/>
                <w:sz w:val="18"/>
                <w:szCs w:val="18"/>
                <w:color w:val="auto"/>
                <w:vertAlign w:val="superscript"/>
              </w:rPr>
              <w:t>(b)</w:t>
            </w:r>
          </w:p>
        </w:tc>
        <w:tc>
          <w:tcPr>
            <w:tcW w:w="480" w:type="dxa"/>
            <w:vAlign w:val="bottom"/>
            <w:tcBorders>
              <w:top w:val="single" w:sz="8" w:color="DBE5F1"/>
            </w:tcBorders>
            <w:shd w:val="clear" w:color="auto" w:fill="DBE5F1"/>
          </w:tcPr>
          <w:p>
            <w:pPr>
              <w:spacing w:after="0"/>
              <w:rPr>
                <w:sz w:val="15"/>
                <w:szCs w:val="15"/>
                <w:color w:val="auto"/>
              </w:rPr>
            </w:pP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320" w:type="dxa"/>
            <w:vAlign w:val="bottom"/>
            <w:tcBorders>
              <w:top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Borders>
              <w:top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$190</w:t>
            </w:r>
          </w:p>
        </w:tc>
      </w:tr>
      <w:tr>
        <w:trPr>
          <w:trHeight w:val="189"/>
        </w:trPr>
        <w:tc>
          <w:tcPr>
            <w:tcW w:w="908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(b)(e)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$(205)</w:t>
            </w:r>
          </w:p>
        </w:tc>
      </w:tr>
      <w:tr>
        <w:trPr>
          <w:trHeight w:val="181"/>
        </w:trPr>
        <w:tc>
          <w:tcPr>
            <w:tcW w:w="9080" w:type="dxa"/>
            <w:vAlign w:val="bottom"/>
            <w:tcBorders>
              <w:top w:val="single" w:sz="8" w:color="DBE5F1"/>
            </w:tcBorders>
            <w:shd w:val="clear" w:color="auto" w:fill="DBE5F1"/>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(b)</w:t>
            </w:r>
          </w:p>
        </w:tc>
        <w:tc>
          <w:tcPr>
            <w:tcW w:w="480" w:type="dxa"/>
            <w:vAlign w:val="bottom"/>
            <w:tcBorders>
              <w:top w:val="single" w:sz="8" w:color="DBE5F1"/>
            </w:tcBorders>
            <w:shd w:val="clear" w:color="auto" w:fill="DBE5F1"/>
          </w:tcPr>
          <w:p>
            <w:pPr>
              <w:spacing w:after="0"/>
              <w:rPr>
                <w:sz w:val="15"/>
                <w:szCs w:val="15"/>
                <w:color w:val="auto"/>
              </w:rPr>
            </w:pP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Borders>
              <w:top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Borders>
              <w:top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9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90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1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32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$110</w:t>
            </w:r>
          </w:p>
        </w:tc>
      </w:tr>
      <w:tr>
        <w:trPr>
          <w:trHeight w:val="187"/>
        </w:trPr>
        <w:tc>
          <w:tcPr>
            <w:tcW w:w="9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90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(f)</w:t>
            </w:r>
          </w:p>
        </w:tc>
        <w:tc>
          <w:tcPr>
            <w:tcW w:w="480" w:type="dxa"/>
            <w:vAlign w:val="bottom"/>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4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$3,987</w:t>
            </w: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$4,032</w:t>
            </w:r>
          </w:p>
        </w:tc>
      </w:tr>
      <w:tr>
        <w:trPr>
          <w:trHeight w:val="31"/>
        </w:trPr>
        <w:tc>
          <w:tcPr>
            <w:tcW w:w="9080" w:type="dxa"/>
            <w:vAlign w:val="bottom"/>
            <w:tcBorders>
              <w:bottom w:val="single" w:sz="8" w:color="DBE5F1"/>
            </w:tcBorders>
          </w:tcPr>
          <w:p>
            <w:pPr>
              <w:spacing w:after="0"/>
              <w:rPr>
                <w:sz w:val="2"/>
                <w:szCs w:val="2"/>
                <w:color w:val="auto"/>
              </w:rPr>
            </w:pPr>
          </w:p>
        </w:tc>
        <w:tc>
          <w:tcPr>
            <w:tcW w:w="480" w:type="dxa"/>
            <w:vAlign w:val="bottom"/>
            <w:tcBorders>
              <w:bottom w:val="single" w:sz="8" w:color="DBE5F1"/>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90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Year-over-year changes in revenues:</w:t>
            </w:r>
            <w:r>
              <w:rPr>
                <w:rFonts w:ascii="Times New Roman" w:cs="Times New Roman" w:eastAsia="Times New Roman" w:hAnsi="Times New Roman"/>
                <w:sz w:val="18"/>
                <w:szCs w:val="18"/>
                <w:color w:val="auto"/>
                <w:vertAlign w:val="superscript"/>
              </w:rPr>
              <w:t>(g)</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90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Site rental revenues as a percentage of prior year site rental revenues</w:t>
            </w:r>
          </w:p>
        </w:tc>
        <w:tc>
          <w:tcPr>
            <w:tcW w:w="2180" w:type="dxa"/>
            <w:vAlign w:val="bottom"/>
            <w:gridSpan w:val="4"/>
            <w:shd w:val="clear" w:color="auto" w:fill="DBE5F1"/>
          </w:tcPr>
          <w:p>
            <w:pPr>
              <w:jc w:val="center"/>
              <w:ind w:left="409"/>
              <w:spacing w:after="0"/>
              <w:rPr>
                <w:sz w:val="20"/>
                <w:szCs w:val="20"/>
                <w:color w:val="auto"/>
              </w:rPr>
            </w:pPr>
            <w:r>
              <w:rPr>
                <w:rFonts w:ascii="Times New Roman" w:cs="Times New Roman" w:eastAsia="Times New Roman" w:hAnsi="Times New Roman"/>
                <w:sz w:val="14"/>
                <w:szCs w:val="14"/>
                <w:color w:val="auto"/>
                <w:w w:val="98"/>
              </w:rPr>
              <w:t>(5.1)%</w:t>
            </w:r>
          </w:p>
        </w:tc>
      </w:tr>
      <w:tr>
        <w:trPr>
          <w:trHeight w:val="189"/>
        </w:trPr>
        <w:tc>
          <w:tcPr>
            <w:tcW w:w="908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Organic Contribution to Site Rental Billings as Adjusted for Impact of Sprint Cancellations as a percentage of prior year site rental billings</w:t>
            </w:r>
            <w:r>
              <w:rPr>
                <w:rFonts w:ascii="Times New Roman" w:cs="Times New Roman" w:eastAsia="Times New Roman" w:hAnsi="Times New Roman"/>
                <w:sz w:val="18"/>
                <w:szCs w:val="18"/>
                <w:color w:val="auto"/>
                <w:vertAlign w:val="superscript"/>
              </w:rPr>
              <w:t>(b)</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700" w:type="dxa"/>
            <w:vAlign w:val="bottom"/>
          </w:tcPr>
          <w:p>
            <w:pPr>
              <w:spacing w:after="0"/>
              <w:rPr>
                <w:sz w:val="16"/>
                <w:szCs w:val="16"/>
                <w:color w:val="auto"/>
              </w:rPr>
            </w:pPr>
          </w:p>
        </w:tc>
      </w:tr>
      <w:tr>
        <w:trPr>
          <w:trHeight w:val="189"/>
        </w:trPr>
        <w:tc>
          <w:tcPr>
            <w:tcW w:w="908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Organic Contribution to Site Rental Billings as a percentage of prior year site rental billings</w:t>
            </w:r>
            <w:r>
              <w:rPr>
                <w:rFonts w:ascii="Times New Roman" w:cs="Times New Roman" w:eastAsia="Times New Roman" w:hAnsi="Times New Roman"/>
                <w:sz w:val="18"/>
                <w:szCs w:val="18"/>
                <w:color w:val="auto"/>
                <w:vertAlign w:val="superscript"/>
              </w:rPr>
              <w:t>(b)</w:t>
            </w:r>
          </w:p>
        </w:tc>
        <w:tc>
          <w:tcPr>
            <w:tcW w:w="2180" w:type="dxa"/>
            <w:vAlign w:val="bottom"/>
            <w:gridSpan w:val="4"/>
            <w:shd w:val="clear" w:color="auto" w:fill="DBE5F1"/>
          </w:tcPr>
          <w:p>
            <w:pPr>
              <w:jc w:val="center"/>
              <w:ind w:left="409"/>
              <w:spacing w:after="0"/>
              <w:rPr>
                <w:sz w:val="20"/>
                <w:szCs w:val="20"/>
                <w:color w:val="auto"/>
              </w:rPr>
            </w:pPr>
            <w:r>
              <w:rPr>
                <w:rFonts w:ascii="Times New Roman" w:cs="Times New Roman" w:eastAsia="Times New Roman" w:hAnsi="Times New Roman"/>
                <w:sz w:val="14"/>
                <w:szCs w:val="14"/>
                <w:color w:val="auto"/>
                <w:w w:val="98"/>
              </w:rPr>
              <w:t>(0.8)%</w:t>
            </w:r>
          </w:p>
        </w:tc>
      </w:tr>
      <w:tr>
        <w:trPr>
          <w:trHeight w:val="453"/>
        </w:trPr>
        <w:tc>
          <w:tcPr>
            <w:tcW w:w="90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4"/>
                <w:szCs w:val="14"/>
                <w:b w:val="1"/>
                <w:bCs w:val="1"/>
                <w:color w:val="auto"/>
              </w:rPr>
              <w:t>OUTLOOK FOR COMPONENTS OF INTEREST EXPENSE</w:t>
            </w: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89"/>
        </w:trPr>
        <w:tc>
          <w:tcPr>
            <w:tcW w:w="90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180" w:type="dxa"/>
            <w:vAlign w:val="bottom"/>
            <w:tcBorders>
              <w:bottom w:val="single" w:sz="8" w:color="auto"/>
            </w:tcBorders>
            <w:gridSpan w:val="4"/>
            <w:shd w:val="clear" w:color="auto" w:fill="DBDBDB"/>
          </w:tcPr>
          <w:p>
            <w:pPr>
              <w:jc w:val="right"/>
              <w:ind w:right="229"/>
              <w:spacing w:after="0" w:line="189" w:lineRule="exact"/>
              <w:rPr>
                <w:sz w:val="20"/>
                <w:szCs w:val="20"/>
                <w:color w:val="auto"/>
              </w:rPr>
            </w:pPr>
            <w:r>
              <w:rPr>
                <w:rFonts w:ascii="Times New Roman" w:cs="Times New Roman" w:eastAsia="Times New Roman" w:hAnsi="Times New Roman"/>
                <w:sz w:val="14"/>
                <w:szCs w:val="14"/>
                <w:b w:val="1"/>
                <w:bCs w:val="1"/>
                <w:color w:val="auto"/>
              </w:rPr>
              <w:t>Full Year 2025 Outlook</w:t>
            </w:r>
            <w:r>
              <w:rPr>
                <w:rFonts w:ascii="Times New Roman" w:cs="Times New Roman" w:eastAsia="Times New Roman" w:hAnsi="Times New Roman"/>
                <w:sz w:val="18"/>
                <w:szCs w:val="18"/>
                <w:b w:val="1"/>
                <w:bCs w:val="1"/>
                <w:color w:val="auto"/>
                <w:vertAlign w:val="superscript"/>
              </w:rPr>
              <w:t>(a)</w:t>
            </w:r>
          </w:p>
        </w:tc>
      </w:tr>
      <w:tr>
        <w:trPr>
          <w:trHeight w:val="179"/>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debt obligations</w:t>
            </w:r>
          </w:p>
        </w:tc>
        <w:tc>
          <w:tcPr>
            <w:tcW w:w="480" w:type="dxa"/>
            <w:vAlign w:val="bottom"/>
          </w:tcPr>
          <w:p>
            <w:pPr>
              <w:spacing w:after="0"/>
              <w:rPr>
                <w:sz w:val="15"/>
                <w:szCs w:val="15"/>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$970 to $1,010</w:t>
            </w:r>
          </w:p>
        </w:tc>
      </w:tr>
      <w:tr>
        <w:trPr>
          <w:trHeight w:val="192"/>
        </w:trPr>
        <w:tc>
          <w:tcPr>
            <w:tcW w:w="90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 and adjustments on long-term debt</w:t>
            </w:r>
          </w:p>
        </w:tc>
        <w:tc>
          <w:tcPr>
            <w:tcW w:w="480" w:type="dxa"/>
            <w:vAlign w:val="bottom"/>
            <w:shd w:val="clear" w:color="auto" w:fill="DBE5F1"/>
          </w:tcPr>
          <w:p>
            <w:pPr>
              <w:spacing w:after="0"/>
              <w:rPr>
                <w:sz w:val="16"/>
                <w:szCs w:val="16"/>
                <w:color w:val="auto"/>
              </w:rPr>
            </w:pPr>
          </w:p>
        </w:tc>
        <w:tc>
          <w:tcPr>
            <w:tcW w:w="1000" w:type="dxa"/>
            <w:vAlign w:val="bottom"/>
            <w:gridSpan w:val="2"/>
            <w:shd w:val="clear" w:color="auto" w:fill="DBE5F1"/>
          </w:tcPr>
          <w:p>
            <w:pPr>
              <w:ind w:left="260"/>
              <w:spacing w:after="0"/>
              <w:rPr>
                <w:sz w:val="20"/>
                <w:szCs w:val="20"/>
                <w:color w:val="auto"/>
              </w:rPr>
            </w:pPr>
            <w:r>
              <w:rPr>
                <w:rFonts w:ascii="Times New Roman" w:cs="Times New Roman" w:eastAsia="Times New Roman" w:hAnsi="Times New Roman"/>
                <w:sz w:val="14"/>
                <w:szCs w:val="14"/>
                <w:color w:val="auto"/>
              </w:rPr>
              <w:t>$20 to $30</w:t>
            </w:r>
          </w:p>
        </w:tc>
        <w:tc>
          <w:tcPr>
            <w:tcW w:w="700" w:type="dxa"/>
            <w:vAlign w:val="bottom"/>
            <w:shd w:val="clear" w:color="auto" w:fill="DBE5F1"/>
          </w:tcPr>
          <w:p>
            <w:pPr>
              <w:spacing w:after="0"/>
              <w:rPr>
                <w:sz w:val="16"/>
                <w:szCs w:val="16"/>
                <w:color w:val="auto"/>
              </w:rPr>
            </w:pPr>
          </w:p>
        </w:tc>
      </w:tr>
      <w:tr>
        <w:trPr>
          <w:trHeight w:val="187"/>
        </w:trPr>
        <w:tc>
          <w:tcPr>
            <w:tcW w:w="908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$(15) to $(5)</w:t>
            </w:r>
          </w:p>
        </w:tc>
        <w:tc>
          <w:tcPr>
            <w:tcW w:w="700" w:type="dxa"/>
            <w:vAlign w:val="bottom"/>
            <w:tcBorders>
              <w:bottom w:val="single" w:sz="8" w:color="auto"/>
            </w:tcBorders>
          </w:tcPr>
          <w:p>
            <w:pPr>
              <w:spacing w:after="0"/>
              <w:rPr>
                <w:sz w:val="16"/>
                <w:szCs w:val="16"/>
                <w:color w:val="auto"/>
              </w:rPr>
            </w:pPr>
          </w:p>
        </w:tc>
      </w:tr>
      <w:tr>
        <w:trPr>
          <w:trHeight w:val="208"/>
        </w:trPr>
        <w:tc>
          <w:tcPr>
            <w:tcW w:w="908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Interest expense and amortization of deferred financing costs, net</w:t>
            </w:r>
          </w:p>
        </w:tc>
        <w:tc>
          <w:tcPr>
            <w:tcW w:w="480" w:type="dxa"/>
            <w:vAlign w:val="bottom"/>
            <w:tcBorders>
              <w:bottom w:val="single" w:sz="8" w:color="auto"/>
            </w:tcBorders>
            <w:shd w:val="clear" w:color="auto" w:fill="DBE5F1"/>
          </w:tcPr>
          <w:p>
            <w:pPr>
              <w:spacing w:after="0"/>
              <w:rPr>
                <w:sz w:val="17"/>
                <w:szCs w:val="17"/>
                <w:color w:val="auto"/>
              </w:rPr>
            </w:pPr>
          </w:p>
        </w:tc>
        <w:tc>
          <w:tcPr>
            <w:tcW w:w="680" w:type="dxa"/>
            <w:vAlign w:val="bottom"/>
            <w:tcBorders>
              <w:bottom w:val="single" w:sz="8" w:color="auto"/>
            </w:tcBorders>
            <w:shd w:val="clear" w:color="auto" w:fill="DBE5F1"/>
          </w:tcPr>
          <w:p>
            <w:pPr>
              <w:ind w:left="180"/>
              <w:spacing w:after="0"/>
              <w:rPr>
                <w:sz w:val="20"/>
                <w:szCs w:val="20"/>
                <w:color w:val="auto"/>
              </w:rPr>
            </w:pPr>
            <w:r>
              <w:rPr>
                <w:rFonts w:ascii="Times New Roman" w:cs="Times New Roman" w:eastAsia="Times New Roman" w:hAnsi="Times New Roman"/>
                <w:sz w:val="14"/>
                <w:szCs w:val="14"/>
                <w:b w:val="1"/>
                <w:bCs w:val="1"/>
                <w:color w:val="auto"/>
              </w:rPr>
              <w:t>$982 to</w:t>
            </w:r>
          </w:p>
        </w:tc>
        <w:tc>
          <w:tcPr>
            <w:tcW w:w="1020" w:type="dxa"/>
            <w:vAlign w:val="bottom"/>
            <w:tcBorders>
              <w:bottom w:val="single" w:sz="8" w:color="auto"/>
            </w:tcBorders>
            <w:gridSpan w:val="2"/>
            <w:shd w:val="clear" w:color="auto" w:fill="DBE5F1"/>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$1,027</w:t>
            </w:r>
          </w:p>
        </w:tc>
      </w:tr>
      <w:tr>
        <w:trPr>
          <w:trHeight w:val="20"/>
        </w:trPr>
        <w:tc>
          <w:tcPr>
            <w:tcW w:w="9080" w:type="dxa"/>
            <w:vAlign w:val="bottom"/>
            <w:tcBorders>
              <w:top w:val="single" w:sz="8" w:color="DBE5F1"/>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680" w:type="dxa"/>
            <w:vAlign w:val="bottom"/>
            <w:tcBorders>
              <w:top w:val="single" w:sz="8" w:color="DBE5F1"/>
              <w:bottom w:val="single" w:sz="8" w:color="auto"/>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5" w:hanging="285"/>
        <w:spacing w:after="0"/>
        <w:tabs>
          <w:tab w:leader="none" w:pos="2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14" w:lineRule="exact"/>
        <w:rPr>
          <w:rFonts w:ascii="Times New Roman" w:cs="Times New Roman" w:eastAsia="Times New Roman" w:hAnsi="Times New Roman"/>
          <w:sz w:val="13"/>
          <w:szCs w:val="13"/>
          <w:color w:val="auto"/>
        </w:rPr>
      </w:pPr>
    </w:p>
    <w:p>
      <w:pPr>
        <w:ind w:left="285" w:hanging="285"/>
        <w:spacing w:after="0" w:line="246" w:lineRule="auto"/>
        <w:tabs>
          <w:tab w:leader="none" w:pos="27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and Organic Contribution to Site Rental Billings as Adjusted for Impact of Sprint Cancellations.</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prior year Towers segment site rental billings. The financial impact of prior year Fiber segment site rental billings is excluded since such billings will be included in discontinued operations for 2025.</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 including on a per share basis.</w:t>
      </w:r>
    </w:p>
    <w:p>
      <w:pPr>
        <w:ind w:left="285" w:hanging="285"/>
        <w:spacing w:after="0"/>
        <w:tabs>
          <w:tab w:leader="none" w:pos="2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full year 2025, we are expecting $205 million of non-renewals associated with Sprint Cancellations that relate to the Towers segment.</w:t>
      </w:r>
    </w:p>
    <w:p>
      <w:pPr>
        <w:ind w:left="285" w:right="20" w:hanging="285"/>
        <w:spacing w:after="0" w:line="246" w:lineRule="auto"/>
        <w:tabs>
          <w:tab w:leader="none" w:pos="28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based on midpoint of full year 2025 Outlook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65"/>
          </w:cols>
          <w:pgMar w:left="315" w:top="120" w:right="319" w:bottom="1440" w:gutter="0" w:footer="0" w:header="0"/>
        </w:sectPr>
      </w:pPr>
    </w:p>
    <w:bookmarkStart w:id="42" w:name="page43"/>
    <w:bookmarkEnd w:id="42"/>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6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580" w:type="dxa"/>
            <w:vAlign w:val="bottom"/>
            <w:tcBorders>
              <w:top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6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CONSOLIDATED SUMMARY FINANCIAL HIGHLIGHTS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36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50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760" w:type="dxa"/>
            <w:vAlign w:val="bottom"/>
            <w:tcBorders>
              <w:top w:val="single" w:sz="8" w:color="auto"/>
            </w:tcBorders>
            <w:gridSpan w:val="3"/>
            <w:vMerge w:val="restart"/>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auto"/>
            </w:tcBorders>
            <w:shd w:val="clear" w:color="auto" w:fill="D9D9D9"/>
          </w:tcPr>
          <w:p>
            <w:pPr>
              <w:spacing w:after="0"/>
              <w:rPr>
                <w:sz w:val="12"/>
                <w:szCs w:val="12"/>
                <w:color w:val="auto"/>
              </w:rPr>
            </w:pPr>
          </w:p>
        </w:tc>
        <w:tc>
          <w:tcPr>
            <w:tcW w:w="50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50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440" w:type="dxa"/>
            <w:vAlign w:val="bottom"/>
            <w:tcBorders>
              <w:top w:val="single" w:sz="8" w:color="auto"/>
            </w:tcBorders>
            <w:shd w:val="clear" w:color="auto" w:fill="D9D9D9"/>
          </w:tcPr>
          <w:p>
            <w:pPr>
              <w:spacing w:after="0"/>
              <w:rPr>
                <w:sz w:val="12"/>
                <w:szCs w:val="12"/>
                <w:color w:val="auto"/>
              </w:rPr>
            </w:pPr>
          </w:p>
        </w:tc>
        <w:tc>
          <w:tcPr>
            <w:tcW w:w="340" w:type="dxa"/>
            <w:vAlign w:val="bottom"/>
            <w:tcBorders>
              <w:top w:val="single" w:sz="8" w:color="auto"/>
            </w:tcBorders>
            <w:gridSpan w:val="3"/>
            <w:vMerge w:val="restart"/>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200" w:type="dxa"/>
            <w:vAlign w:val="bottom"/>
            <w:tcBorders>
              <w:top w:val="single" w:sz="8" w:color="auto"/>
            </w:tcBorders>
            <w:shd w:val="clear" w:color="auto" w:fill="D9D9D9"/>
          </w:tcPr>
          <w:p>
            <w:pPr>
              <w:spacing w:after="0"/>
              <w:rPr>
                <w:sz w:val="12"/>
                <w:szCs w:val="12"/>
                <w:color w:val="auto"/>
              </w:rPr>
            </w:pPr>
          </w:p>
        </w:tc>
        <w:tc>
          <w:tcPr>
            <w:tcW w:w="60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1640" w:type="dxa"/>
            <w:vAlign w:val="bottom"/>
            <w:tcBorders>
              <w:top w:val="single" w:sz="8" w:color="auto"/>
            </w:tcBorders>
            <w:gridSpan w:val="4"/>
            <w:shd w:val="clear" w:color="auto" w:fill="D9D9D9"/>
          </w:tcPr>
          <w:p>
            <w:pPr>
              <w:jc w:val="right"/>
              <w:ind w:right="14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D9D9D9"/>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50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760" w:type="dxa"/>
            <w:vAlign w:val="bottom"/>
            <w:tcBorders>
              <w:bottom w:val="single" w:sz="8" w:color="auto"/>
            </w:tcBorders>
            <w:gridSpan w:val="3"/>
            <w:vMerge w:val="continue"/>
            <w:shd w:val="clear" w:color="auto" w:fill="D9D9D9"/>
          </w:tcPr>
          <w:p>
            <w:pPr>
              <w:spacing w:after="0"/>
              <w:rPr>
                <w:sz w:val="16"/>
                <w:szCs w:val="16"/>
                <w:color w:val="auto"/>
              </w:rPr>
            </w:pPr>
          </w:p>
        </w:tc>
        <w:tc>
          <w:tcPr>
            <w:tcW w:w="4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0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5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44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tcBorders>
            <w:gridSpan w:val="3"/>
            <w:vMerge w:val="continue"/>
            <w:shd w:val="clear" w:color="auto" w:fill="D9D9D9"/>
          </w:tcPr>
          <w:p>
            <w:pPr>
              <w:spacing w:after="0"/>
              <w:rPr>
                <w:sz w:val="16"/>
                <w:szCs w:val="16"/>
                <w:color w:val="auto"/>
              </w:rPr>
            </w:pPr>
          </w:p>
        </w:tc>
        <w:tc>
          <w:tcPr>
            <w:tcW w:w="46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60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1640" w:type="dxa"/>
            <w:vAlign w:val="bottom"/>
            <w:tcBorders>
              <w:bottom w:val="single" w:sz="8" w:color="auto"/>
            </w:tcBorders>
            <w:gridSpan w:val="4"/>
            <w:shd w:val="clear" w:color="auto" w:fill="D9D9D9"/>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3360" w:type="dxa"/>
            <w:vAlign w:val="bottom"/>
            <w:shd w:val="clear" w:color="auto" w:fill="D9D9D9"/>
          </w:tcPr>
          <w:p>
            <w:pPr>
              <w:ind w:left="20"/>
              <w:spacing w:after="0" w:line="125" w:lineRule="exact"/>
              <w:rPr>
                <w:sz w:val="20"/>
                <w:szCs w:val="20"/>
                <w:color w:val="auto"/>
              </w:rPr>
            </w:pPr>
            <w:r>
              <w:rPr>
                <w:rFonts w:ascii="Times New Roman" w:cs="Times New Roman" w:eastAsia="Times New Roman" w:hAnsi="Times New Roman"/>
                <w:sz w:val="14"/>
                <w:szCs w:val="14"/>
                <w:i w:val="1"/>
                <w:iCs w:val="1"/>
                <w:color w:val="auto"/>
              </w:rPr>
              <w:t>(in millions, except per share amounts; totals may not sum</w:t>
            </w:r>
          </w:p>
        </w:tc>
        <w:tc>
          <w:tcPr>
            <w:tcW w:w="160" w:type="dxa"/>
            <w:vAlign w:val="bottom"/>
            <w:shd w:val="clear" w:color="auto" w:fill="D9D9D9"/>
          </w:tcPr>
          <w:p>
            <w:pPr>
              <w:spacing w:after="0"/>
              <w:rPr>
                <w:sz w:val="10"/>
                <w:szCs w:val="10"/>
                <w:color w:val="auto"/>
              </w:rPr>
            </w:pPr>
          </w:p>
        </w:tc>
        <w:tc>
          <w:tcPr>
            <w:tcW w:w="58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shd w:val="clear" w:color="auto" w:fill="D9D9D9"/>
          </w:tcPr>
          <w:p>
            <w:pPr>
              <w:spacing w:after="0"/>
              <w:rPr>
                <w:sz w:val="10"/>
                <w:szCs w:val="10"/>
                <w:color w:val="auto"/>
              </w:rPr>
            </w:pPr>
          </w:p>
        </w:tc>
        <w:tc>
          <w:tcPr>
            <w:tcW w:w="58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shd w:val="clear" w:color="auto" w:fill="D9D9D9"/>
          </w:tcPr>
          <w:p>
            <w:pPr>
              <w:spacing w:after="0"/>
              <w:rPr>
                <w:sz w:val="10"/>
                <w:szCs w:val="10"/>
                <w:color w:val="auto"/>
              </w:rPr>
            </w:pPr>
          </w:p>
        </w:tc>
        <w:tc>
          <w:tcPr>
            <w:tcW w:w="560" w:type="dxa"/>
            <w:vAlign w:val="bottom"/>
            <w:gridSpan w:val="2"/>
            <w:vMerge w:val="restart"/>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shd w:val="clear" w:color="auto" w:fill="D9D9D9"/>
          </w:tcPr>
          <w:p>
            <w:pPr>
              <w:spacing w:after="0"/>
              <w:rPr>
                <w:sz w:val="10"/>
                <w:szCs w:val="10"/>
                <w:color w:val="auto"/>
              </w:rPr>
            </w:pPr>
          </w:p>
        </w:tc>
        <w:tc>
          <w:tcPr>
            <w:tcW w:w="580" w:type="dxa"/>
            <w:vAlign w:val="bottom"/>
            <w:gridSpan w:val="2"/>
            <w:vMerge w:val="restart"/>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shd w:val="clear" w:color="auto" w:fill="D9D9D9"/>
          </w:tcPr>
          <w:p>
            <w:pPr>
              <w:spacing w:after="0"/>
              <w:rPr>
                <w:sz w:val="10"/>
                <w:szCs w:val="10"/>
                <w:color w:val="auto"/>
              </w:rPr>
            </w:pPr>
          </w:p>
        </w:tc>
        <w:tc>
          <w:tcPr>
            <w:tcW w:w="60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shd w:val="clear" w:color="auto" w:fill="D9D9D9"/>
          </w:tcPr>
          <w:p>
            <w:pPr>
              <w:spacing w:after="0"/>
              <w:rPr>
                <w:sz w:val="10"/>
                <w:szCs w:val="10"/>
                <w:color w:val="auto"/>
              </w:rPr>
            </w:pPr>
          </w:p>
        </w:tc>
        <w:tc>
          <w:tcPr>
            <w:tcW w:w="440" w:type="dxa"/>
            <w:vAlign w:val="bottom"/>
            <w:vMerge w:val="restart"/>
            <w:shd w:val="clear" w:color="auto" w:fill="D9D9D9"/>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Q2</w:t>
            </w:r>
          </w:p>
        </w:tc>
        <w:tc>
          <w:tcPr>
            <w:tcW w:w="60" w:type="dxa"/>
            <w:vAlign w:val="bottom"/>
            <w:shd w:val="clear" w:color="auto" w:fill="D9D9D9"/>
          </w:tcPr>
          <w:p>
            <w:pPr>
              <w:spacing w:after="0"/>
              <w:rPr>
                <w:sz w:val="10"/>
                <w:szCs w:val="10"/>
                <w:color w:val="auto"/>
              </w:rPr>
            </w:pPr>
          </w:p>
        </w:tc>
        <w:tc>
          <w:tcPr>
            <w:tcW w:w="80" w:type="dxa"/>
            <w:vAlign w:val="bottom"/>
            <w:shd w:val="clear" w:color="auto" w:fill="D9D9D9"/>
          </w:tcPr>
          <w:p>
            <w:pPr>
              <w:spacing w:after="0"/>
              <w:rPr>
                <w:sz w:val="10"/>
                <w:szCs w:val="10"/>
                <w:color w:val="auto"/>
              </w:rPr>
            </w:pPr>
          </w:p>
        </w:tc>
        <w:tc>
          <w:tcPr>
            <w:tcW w:w="200" w:type="dxa"/>
            <w:vAlign w:val="bottom"/>
            <w:shd w:val="clear" w:color="auto" w:fill="D9D9D9"/>
          </w:tcPr>
          <w:p>
            <w:pPr>
              <w:spacing w:after="0"/>
              <w:rPr>
                <w:sz w:val="10"/>
                <w:szCs w:val="10"/>
                <w:color w:val="auto"/>
              </w:rPr>
            </w:pPr>
          </w:p>
        </w:tc>
        <w:tc>
          <w:tcPr>
            <w:tcW w:w="540" w:type="dxa"/>
            <w:vAlign w:val="bottom"/>
            <w:gridSpan w:val="2"/>
            <w:vMerge w:val="restart"/>
            <w:shd w:val="clear" w:color="auto" w:fill="D9D9D9"/>
          </w:tcPr>
          <w:p>
            <w:pPr>
              <w:ind w:left="40"/>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shd w:val="clear" w:color="auto" w:fill="D9D9D9"/>
          </w:tcPr>
          <w:p>
            <w:pPr>
              <w:spacing w:after="0"/>
              <w:rPr>
                <w:sz w:val="10"/>
                <w:szCs w:val="10"/>
                <w:color w:val="auto"/>
              </w:rPr>
            </w:pPr>
          </w:p>
        </w:tc>
        <w:tc>
          <w:tcPr>
            <w:tcW w:w="680" w:type="dxa"/>
            <w:vAlign w:val="bottom"/>
            <w:gridSpan w:val="2"/>
            <w:vMerge w:val="restart"/>
            <w:shd w:val="clear" w:color="auto" w:fill="D9D9D9"/>
          </w:tcPr>
          <w:p>
            <w:pPr>
              <w:ind w:lef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shd w:val="clear" w:color="auto" w:fill="D9D9D9"/>
          </w:tcPr>
          <w:p>
            <w:pPr>
              <w:spacing w:after="0"/>
              <w:rPr>
                <w:sz w:val="10"/>
                <w:szCs w:val="10"/>
                <w:color w:val="auto"/>
              </w:rPr>
            </w:pPr>
          </w:p>
        </w:tc>
        <w:tc>
          <w:tcPr>
            <w:tcW w:w="700" w:type="dxa"/>
            <w:vAlign w:val="bottom"/>
            <w:vMerge w:val="restart"/>
            <w:shd w:val="clear" w:color="auto" w:fill="D9D9D9"/>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680" w:type="dxa"/>
            <w:vAlign w:val="bottom"/>
            <w:vMerge w:val="restart"/>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due to rounding)</w:t>
            </w:r>
          </w:p>
        </w:tc>
        <w:tc>
          <w:tcPr>
            <w:tcW w:w="160" w:type="dxa"/>
            <w:vAlign w:val="bottom"/>
            <w:tcBorders>
              <w:bottom w:val="single" w:sz="8" w:color="auto"/>
            </w:tcBorders>
            <w:shd w:val="clear" w:color="auto" w:fill="D9D9D9"/>
          </w:tcPr>
          <w:p>
            <w:pPr>
              <w:spacing w:after="0"/>
              <w:rPr>
                <w:sz w:val="16"/>
                <w:szCs w:val="16"/>
                <w:color w:val="auto"/>
              </w:rPr>
            </w:pPr>
          </w:p>
        </w:tc>
        <w:tc>
          <w:tcPr>
            <w:tcW w:w="58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58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6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8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60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440" w:type="dxa"/>
            <w:vAlign w:val="bottom"/>
            <w:tcBorders>
              <w:bottom w:val="single" w:sz="8" w:color="auto"/>
            </w:tcBorders>
            <w:vMerge w:val="continue"/>
            <w:shd w:val="clear" w:color="auto" w:fill="D9D9D9"/>
          </w:tcPr>
          <w:p>
            <w:pPr>
              <w:spacing w:after="0"/>
              <w:rPr>
                <w:sz w:val="16"/>
                <w:szCs w:val="16"/>
                <w:color w:val="auto"/>
              </w:rPr>
            </w:pPr>
          </w:p>
        </w:tc>
        <w:tc>
          <w:tcPr>
            <w:tcW w:w="6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540" w:type="dxa"/>
            <w:vAlign w:val="bottom"/>
            <w:tcBorders>
              <w:bottom w:val="single" w:sz="8" w:color="auto"/>
            </w:tcBorders>
            <w:gridSpan w:val="2"/>
            <w:vMerge w:val="continue"/>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68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700" w:type="dxa"/>
            <w:vAlign w:val="bottom"/>
            <w:tcBorders>
              <w:bottom w:val="single" w:sz="8" w:color="auto"/>
            </w:tcBorders>
            <w:vMerge w:val="continue"/>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680" w:type="dxa"/>
            <w:vAlign w:val="bottom"/>
            <w:tcBorders>
              <w:bottom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Site rental</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34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5,385</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0" w:type="dxa"/>
            <w:vAlign w:val="bottom"/>
          </w:tcPr>
          <w:p>
            <w:pPr>
              <w:spacing w:after="0"/>
              <w:rPr>
                <w:sz w:val="1"/>
                <w:szCs w:val="1"/>
                <w:color w:val="auto"/>
              </w:rPr>
            </w:pPr>
          </w:p>
        </w:tc>
      </w:tr>
      <w:tr>
        <w:trPr>
          <w:trHeight w:val="189"/>
        </w:trPr>
        <w:tc>
          <w:tcPr>
            <w:tcW w:w="33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7"/>
        </w:trPr>
        <w:tc>
          <w:tcPr>
            <w:tcW w:w="3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Borders>
              <w:bottom w:val="single" w:sz="8" w:color="auto"/>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6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79"/>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Borders>
              <w:bottom w:val="single" w:sz="8" w:color="auto"/>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6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81"/>
        </w:trPr>
        <w:tc>
          <w:tcPr>
            <w:tcW w:w="3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0" w:type="dxa"/>
            <w:vAlign w:val="bottom"/>
          </w:tcPr>
          <w:p>
            <w:pPr>
              <w:spacing w:after="0"/>
              <w:rPr>
                <w:sz w:val="1"/>
                <w:szCs w:val="1"/>
                <w:color w:val="auto"/>
              </w:rPr>
            </w:pPr>
          </w:p>
        </w:tc>
      </w:tr>
      <w:tr>
        <w:trPr>
          <w:trHeight w:val="20"/>
        </w:trPr>
        <w:tc>
          <w:tcPr>
            <w:tcW w:w="336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6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0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0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48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0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0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44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4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60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70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6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Select operating expenses:</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120"/>
              <w:spacing w:after="0" w:line="192" w:lineRule="exact"/>
              <w:rPr>
                <w:sz w:val="20"/>
                <w:szCs w:val="20"/>
                <w:color w:val="auto"/>
              </w:rPr>
            </w:pPr>
            <w:r>
              <w:rPr>
                <w:rFonts w:ascii="Times New Roman" w:cs="Times New Roman" w:eastAsia="Times New Roman" w:hAnsi="Times New Roman"/>
                <w:sz w:val="14"/>
                <w:szCs w:val="14"/>
                <w:color w:val="auto"/>
              </w:rPr>
              <w:t>Costs of operations</w:t>
            </w:r>
            <w:r>
              <w:rPr>
                <w:rFonts w:ascii="Times New Roman" w:cs="Times New Roman" w:eastAsia="Times New Roman" w:hAnsi="Times New Roman"/>
                <w:sz w:val="18"/>
                <w:szCs w:val="18"/>
                <w:color w:val="auto"/>
                <w:vertAlign w:val="superscript"/>
              </w:rPr>
              <w:t>(b)</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Site rental exclusive of straight-lined expenses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34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Straight-lined expenses</w:t>
            </w: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bottom w:val="single" w:sz="8" w:color="auto"/>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6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9"/>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Borders>
              <w:bottom w:val="single" w:sz="8" w:color="auto"/>
            </w:tcBorders>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6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9"/>
        </w:trPr>
        <w:tc>
          <w:tcPr>
            <w:tcW w:w="3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costs of operations</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4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34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(c)</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0" w:type="dxa"/>
            <w:vAlign w:val="bottom"/>
          </w:tcPr>
          <w:p>
            <w:pPr>
              <w:spacing w:after="0"/>
              <w:rPr>
                <w:sz w:val="1"/>
                <w:szCs w:val="1"/>
                <w:color w:val="auto"/>
              </w:rPr>
            </w:pPr>
          </w:p>
        </w:tc>
      </w:tr>
      <w:tr>
        <w:trPr>
          <w:trHeight w:val="189"/>
        </w:trPr>
        <w:tc>
          <w:tcPr>
            <w:tcW w:w="3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42"/>
        </w:trPr>
        <w:tc>
          <w:tcPr>
            <w:tcW w:w="3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expense and amortization of deferred financing</w:t>
            </w: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87"/>
        </w:trPr>
        <w:tc>
          <w:tcPr>
            <w:tcW w:w="3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net</w:t>
            </w: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FFO</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AFFO</w:t>
            </w:r>
            <w:r>
              <w:rPr>
                <w:rFonts w:ascii="Times New Roman" w:cs="Times New Roman" w:eastAsia="Times New Roman" w:hAnsi="Times New Roman"/>
                <w:sz w:val="18"/>
                <w:szCs w:val="18"/>
                <w:color w:val="auto"/>
                <w:vertAlign w:val="superscript"/>
              </w:rPr>
              <w:t>(c)</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34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0" w:type="dxa"/>
            <w:vAlign w:val="bottom"/>
          </w:tcPr>
          <w:p>
            <w:pPr>
              <w:spacing w:after="0"/>
              <w:rPr>
                <w:sz w:val="1"/>
                <w:szCs w:val="1"/>
                <w:color w:val="auto"/>
              </w:rPr>
            </w:pPr>
          </w:p>
        </w:tc>
      </w:tr>
      <w:tr>
        <w:trPr>
          <w:trHeight w:val="237"/>
        </w:trPr>
        <w:tc>
          <w:tcPr>
            <w:tcW w:w="336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6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7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 diluted</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39"/>
        </w:trPr>
        <w:tc>
          <w:tcPr>
            <w:tcW w:w="336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40" w:type="dxa"/>
            <w:vAlign w:val="bottom"/>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46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6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7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share—diluted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34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92"/>
        </w:trPr>
        <w:tc>
          <w:tcPr>
            <w:tcW w:w="336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AFFO per share</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34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5" w:hanging="285"/>
        <w:spacing w:after="0"/>
        <w:tabs>
          <w:tab w:leader="none" w:pos="285"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 of site rental billings.</w:t>
      </w:r>
    </w:p>
    <w:p>
      <w:pPr>
        <w:spacing w:after="0" w:line="8"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w:t>
      </w:r>
    </w:p>
    <w:p>
      <w:pPr>
        <w:ind w:left="285" w:hanging="285"/>
        <w:spacing w:after="0"/>
        <w:tabs>
          <w:tab w:leader="none" w:pos="285"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 including on a per share basis.</w:t>
      </w:r>
    </w:p>
    <w:p>
      <w:pPr>
        <w:spacing w:after="0" w:line="200" w:lineRule="exact"/>
        <w:rPr>
          <w:sz w:val="20"/>
          <w:szCs w:val="20"/>
          <w:color w:val="auto"/>
        </w:rPr>
      </w:pPr>
    </w:p>
    <w:p>
      <w:pPr>
        <w:spacing w:after="0" w:line="38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65"/>
          </w:cols>
          <w:pgMar w:left="315" w:top="120" w:right="319" w:bottom="1440" w:gutter="0" w:footer="0" w:header="0"/>
        </w:sectPr>
      </w:pPr>
    </w:p>
    <w:bookmarkStart w:id="43" w:name="page44"/>
    <w:bookmarkEnd w:id="43"/>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6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580" w:type="dxa"/>
            <w:vAlign w:val="bottom"/>
            <w:tcBorders>
              <w:top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6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CONSOLIDATED COMPONENTS OF CHANGES IN SITE RENTAL REVENUES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06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auto"/>
            </w:tcBorders>
            <w:shd w:val="clear" w:color="auto" w:fill="D9D9D9"/>
          </w:tcPr>
          <w:p>
            <w:pPr>
              <w:spacing w:after="0"/>
              <w:rPr>
                <w:sz w:val="12"/>
                <w:szCs w:val="12"/>
                <w:color w:val="auto"/>
              </w:rPr>
            </w:pPr>
          </w:p>
        </w:tc>
        <w:tc>
          <w:tcPr>
            <w:tcW w:w="52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800" w:type="dxa"/>
            <w:vAlign w:val="bottom"/>
            <w:tcBorders>
              <w:top w:val="single" w:sz="8" w:color="auto"/>
            </w:tcBorders>
            <w:gridSpan w:val="3"/>
            <w:vMerge w:val="restart"/>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52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auto"/>
            </w:tcBorders>
            <w:shd w:val="clear" w:color="auto" w:fill="D9D9D9"/>
          </w:tcPr>
          <w:p>
            <w:pPr>
              <w:spacing w:after="0"/>
              <w:rPr>
                <w:sz w:val="12"/>
                <w:szCs w:val="12"/>
                <w:color w:val="auto"/>
              </w:rPr>
            </w:pPr>
          </w:p>
        </w:tc>
        <w:tc>
          <w:tcPr>
            <w:tcW w:w="52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60" w:type="dxa"/>
            <w:vAlign w:val="bottom"/>
            <w:tcBorders>
              <w:top w:val="single" w:sz="8" w:color="auto"/>
            </w:tcBorders>
            <w:shd w:val="clear" w:color="auto" w:fill="D9D9D9"/>
          </w:tcPr>
          <w:p>
            <w:pPr>
              <w:spacing w:after="0"/>
              <w:rPr>
                <w:sz w:val="12"/>
                <w:szCs w:val="12"/>
                <w:color w:val="auto"/>
              </w:rPr>
            </w:pPr>
          </w:p>
        </w:tc>
        <w:tc>
          <w:tcPr>
            <w:tcW w:w="800" w:type="dxa"/>
            <w:vAlign w:val="bottom"/>
            <w:tcBorders>
              <w:top w:val="single" w:sz="8" w:color="auto"/>
            </w:tcBorders>
            <w:gridSpan w:val="3"/>
            <w:vMerge w:val="restart"/>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shd w:val="clear" w:color="auto" w:fill="D9D9D9"/>
          </w:tcPr>
          <w:p>
            <w:pPr>
              <w:spacing w:after="0"/>
              <w:rPr>
                <w:sz w:val="12"/>
                <w:szCs w:val="12"/>
                <w:color w:val="auto"/>
              </w:rPr>
            </w:pPr>
          </w:p>
        </w:tc>
        <w:tc>
          <w:tcPr>
            <w:tcW w:w="10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auto"/>
            </w:tcBorders>
            <w:shd w:val="clear" w:color="auto" w:fill="D9D9D9"/>
          </w:tcPr>
          <w:p>
            <w:pPr>
              <w:spacing w:after="0"/>
              <w:rPr>
                <w:sz w:val="12"/>
                <w:szCs w:val="12"/>
                <w:color w:val="auto"/>
              </w:rPr>
            </w:pPr>
          </w:p>
        </w:tc>
        <w:tc>
          <w:tcPr>
            <w:tcW w:w="520" w:type="dxa"/>
            <w:vAlign w:val="bottom"/>
            <w:tcBorders>
              <w:top w:val="single" w:sz="8" w:color="auto"/>
            </w:tcBorders>
            <w:shd w:val="clear" w:color="auto" w:fill="D9D9D9"/>
          </w:tcPr>
          <w:p>
            <w:pPr>
              <w:spacing w:after="0"/>
              <w:rPr>
                <w:sz w:val="12"/>
                <w:szCs w:val="12"/>
                <w:color w:val="auto"/>
              </w:rPr>
            </w:pPr>
          </w:p>
        </w:tc>
        <w:tc>
          <w:tcPr>
            <w:tcW w:w="80" w:type="dxa"/>
            <w:vAlign w:val="bottom"/>
            <w:tcBorders>
              <w:top w:val="single" w:sz="8" w:color="auto"/>
            </w:tcBorders>
            <w:shd w:val="clear" w:color="auto" w:fill="D9D9D9"/>
          </w:tcPr>
          <w:p>
            <w:pPr>
              <w:spacing w:after="0"/>
              <w:rPr>
                <w:sz w:val="12"/>
                <w:szCs w:val="12"/>
                <w:color w:val="auto"/>
              </w:rPr>
            </w:pPr>
          </w:p>
        </w:tc>
        <w:tc>
          <w:tcPr>
            <w:tcW w:w="180" w:type="dxa"/>
            <w:vAlign w:val="bottom"/>
            <w:tcBorders>
              <w:top w:val="single" w:sz="8" w:color="auto"/>
            </w:tcBorders>
            <w:shd w:val="clear" w:color="auto" w:fill="D9D9D9"/>
          </w:tcPr>
          <w:p>
            <w:pPr>
              <w:spacing w:after="0"/>
              <w:rPr>
                <w:sz w:val="12"/>
                <w:szCs w:val="12"/>
                <w:color w:val="auto"/>
              </w:rPr>
            </w:pPr>
          </w:p>
        </w:tc>
        <w:tc>
          <w:tcPr>
            <w:tcW w:w="1680" w:type="dxa"/>
            <w:vAlign w:val="bottom"/>
            <w:tcBorders>
              <w:top w:val="single" w:sz="8" w:color="auto"/>
            </w:tcBorders>
            <w:gridSpan w:val="4"/>
            <w:shd w:val="clear" w:color="auto" w:fill="D9D9D9"/>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060" w:type="dxa"/>
            <w:vAlign w:val="bottom"/>
            <w:tcBorders>
              <w:bottom w:val="single" w:sz="8" w:color="D9D9D9"/>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2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800" w:type="dxa"/>
            <w:vAlign w:val="bottom"/>
            <w:tcBorders>
              <w:bottom w:val="single" w:sz="8" w:color="auto"/>
            </w:tcBorders>
            <w:gridSpan w:val="3"/>
            <w:vMerge w:val="continue"/>
            <w:shd w:val="clear" w:color="auto" w:fill="D9D9D9"/>
          </w:tcPr>
          <w:p>
            <w:pPr>
              <w:spacing w:after="0"/>
              <w:rPr>
                <w:sz w:val="16"/>
                <w:szCs w:val="16"/>
                <w:color w:val="auto"/>
              </w:rPr>
            </w:pPr>
          </w:p>
        </w:tc>
        <w:tc>
          <w:tcPr>
            <w:tcW w:w="5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52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D9D9D9"/>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2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800" w:type="dxa"/>
            <w:vAlign w:val="bottom"/>
            <w:tcBorders>
              <w:bottom w:val="single" w:sz="8" w:color="auto"/>
            </w:tcBorders>
            <w:gridSpan w:val="3"/>
            <w:vMerge w:val="continue"/>
            <w:shd w:val="clear" w:color="auto" w:fill="D9D9D9"/>
          </w:tcPr>
          <w:p>
            <w:pPr>
              <w:spacing w:after="0"/>
              <w:rPr>
                <w:sz w:val="16"/>
                <w:szCs w:val="16"/>
                <w:color w:val="auto"/>
              </w:rPr>
            </w:pPr>
          </w:p>
        </w:tc>
        <w:tc>
          <w:tcPr>
            <w:tcW w:w="52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52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1680" w:type="dxa"/>
            <w:vAlign w:val="bottom"/>
            <w:tcBorders>
              <w:bottom w:val="single" w:sz="8" w:color="auto"/>
            </w:tcBorders>
            <w:gridSpan w:val="4"/>
            <w:shd w:val="clear" w:color="auto" w:fill="D9D9D9"/>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3060" w:type="dxa"/>
            <w:vAlign w:val="bottom"/>
            <w:shd w:val="clear" w:color="auto" w:fill="D9D9D9"/>
          </w:tcPr>
          <w:p>
            <w:pPr>
              <w:ind w:left="20"/>
              <w:spacing w:after="0" w:line="125" w:lineRule="exact"/>
              <w:rPr>
                <w:sz w:val="20"/>
                <w:szCs w:val="20"/>
                <w:color w:val="auto"/>
              </w:rPr>
            </w:pPr>
            <w:r>
              <w:rPr>
                <w:rFonts w:ascii="Times New Roman" w:cs="Times New Roman" w:eastAsia="Times New Roman" w:hAnsi="Times New Roman"/>
                <w:sz w:val="14"/>
                <w:szCs w:val="14"/>
                <w:i w:val="1"/>
                <w:iCs w:val="1"/>
                <w:color w:val="auto"/>
              </w:rPr>
              <w:t>(dollars in millions; totals may not sum due to</w:t>
            </w:r>
          </w:p>
        </w:tc>
        <w:tc>
          <w:tcPr>
            <w:tcW w:w="18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shd w:val="clear" w:color="auto" w:fill="D9D9D9"/>
          </w:tcPr>
          <w:p>
            <w:pPr>
              <w:spacing w:after="0"/>
              <w:rPr>
                <w:sz w:val="10"/>
                <w:szCs w:val="10"/>
                <w:color w:val="auto"/>
              </w:rPr>
            </w:pPr>
          </w:p>
        </w:tc>
        <w:tc>
          <w:tcPr>
            <w:tcW w:w="600" w:type="dxa"/>
            <w:vAlign w:val="bottom"/>
            <w:gridSpan w:val="2"/>
            <w:vMerge w:val="restart"/>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Q4</w:t>
            </w:r>
          </w:p>
        </w:tc>
        <w:tc>
          <w:tcPr>
            <w:tcW w:w="18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shd w:val="clear" w:color="auto" w:fill="D9D9D9"/>
          </w:tcPr>
          <w:p>
            <w:pPr>
              <w:spacing w:after="0"/>
              <w:rPr>
                <w:sz w:val="10"/>
                <w:szCs w:val="10"/>
                <w:color w:val="auto"/>
              </w:rPr>
            </w:pPr>
          </w:p>
        </w:tc>
        <w:tc>
          <w:tcPr>
            <w:tcW w:w="62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shd w:val="clear" w:color="auto" w:fill="D9D9D9"/>
          </w:tcPr>
          <w:p>
            <w:pPr>
              <w:spacing w:after="0"/>
              <w:rPr>
                <w:sz w:val="10"/>
                <w:szCs w:val="10"/>
                <w:color w:val="auto"/>
              </w:rPr>
            </w:pPr>
          </w:p>
        </w:tc>
        <w:tc>
          <w:tcPr>
            <w:tcW w:w="600" w:type="dxa"/>
            <w:vAlign w:val="bottom"/>
            <w:gridSpan w:val="2"/>
            <w:vMerge w:val="restart"/>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Q4</w:t>
            </w:r>
          </w:p>
        </w:tc>
        <w:tc>
          <w:tcPr>
            <w:tcW w:w="180" w:type="dxa"/>
            <w:vAlign w:val="bottom"/>
            <w:shd w:val="clear" w:color="auto" w:fill="D9D9D9"/>
          </w:tcPr>
          <w:p>
            <w:pPr>
              <w:spacing w:after="0"/>
              <w:rPr>
                <w:sz w:val="10"/>
                <w:szCs w:val="10"/>
                <w:color w:val="auto"/>
              </w:rPr>
            </w:pPr>
          </w:p>
        </w:tc>
        <w:tc>
          <w:tcPr>
            <w:tcW w:w="700" w:type="dxa"/>
            <w:vAlign w:val="bottom"/>
            <w:vMerge w:val="restart"/>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D9D9D9"/>
          </w:tcPr>
          <w:p>
            <w:pPr>
              <w:spacing w:after="0"/>
              <w:rPr>
                <w:sz w:val="10"/>
                <w:szCs w:val="10"/>
                <w:color w:val="auto"/>
              </w:rPr>
            </w:pPr>
          </w:p>
        </w:tc>
        <w:tc>
          <w:tcPr>
            <w:tcW w:w="180" w:type="dxa"/>
            <w:vAlign w:val="bottom"/>
            <w:shd w:val="clear" w:color="auto" w:fill="D9D9D9"/>
          </w:tcPr>
          <w:p>
            <w:pPr>
              <w:spacing w:after="0"/>
              <w:rPr>
                <w:sz w:val="10"/>
                <w:szCs w:val="10"/>
                <w:color w:val="auto"/>
              </w:rPr>
            </w:pPr>
          </w:p>
        </w:tc>
        <w:tc>
          <w:tcPr>
            <w:tcW w:w="700" w:type="dxa"/>
            <w:vAlign w:val="bottom"/>
            <w:vMerge w:val="restart"/>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30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rounding)</w:t>
            </w:r>
          </w:p>
        </w:tc>
        <w:tc>
          <w:tcPr>
            <w:tcW w:w="18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60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62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600" w:type="dxa"/>
            <w:vAlign w:val="bottom"/>
            <w:tcBorders>
              <w:bottom w:val="single" w:sz="8" w:color="auto"/>
            </w:tcBorders>
            <w:gridSpan w:val="2"/>
            <w:vMerge w:val="continue"/>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700" w:type="dxa"/>
            <w:vAlign w:val="bottom"/>
            <w:tcBorders>
              <w:bottom w:val="single" w:sz="8" w:color="auto"/>
            </w:tcBorders>
            <w:vMerge w:val="continue"/>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700" w:type="dxa"/>
            <w:vAlign w:val="bottom"/>
            <w:tcBorders>
              <w:bottom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60" w:type="dxa"/>
            <w:vAlign w:val="bottom"/>
            <w:shd w:val="clear" w:color="auto" w:fill="DBE5F1"/>
          </w:tcPr>
          <w:p>
            <w:pPr>
              <w:ind w:left="300"/>
              <w:spacing w:after="0" w:line="192"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1,280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1,377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5,193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5,386</w:t>
            </w: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7"/>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2"/>
        </w:trPr>
        <w:tc>
          <w:tcPr>
            <w:tcW w:w="30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9"/>
        </w:trPr>
        <w:tc>
          <w:tcPr>
            <w:tcW w:w="306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22"/>
        </w:trPr>
        <w:tc>
          <w:tcPr>
            <w:tcW w:w="3060" w:type="dxa"/>
            <w:vAlign w:val="bottom"/>
            <w:tcBorders>
              <w:top w:val="single" w:sz="8" w:color="DBE5F1"/>
            </w:tcBorders>
            <w:shd w:val="clear" w:color="auto" w:fill="DBE5F1"/>
          </w:tcPr>
          <w:p>
            <w:pPr>
              <w:ind w:left="30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8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DBE5F1"/>
            </w:tcBorders>
            <w:shd w:val="clear" w:color="auto" w:fill="DBE5F1"/>
          </w:tcPr>
          <w:p>
            <w:pPr>
              <w:spacing w:after="0"/>
              <w:rPr>
                <w:sz w:val="10"/>
                <w:szCs w:val="10"/>
                <w:color w:val="auto"/>
              </w:rPr>
            </w:pPr>
          </w:p>
        </w:tc>
        <w:tc>
          <w:tcPr>
            <w:tcW w:w="16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0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top w:val="single" w:sz="8" w:color="DBE5F1"/>
            </w:tcBorders>
            <w:shd w:val="clear" w:color="auto" w:fill="DBE5F1"/>
          </w:tcPr>
          <w:p>
            <w:pPr>
              <w:spacing w:after="0"/>
              <w:rPr>
                <w:sz w:val="10"/>
                <w:szCs w:val="10"/>
                <w:color w:val="auto"/>
              </w:rPr>
            </w:pPr>
          </w:p>
        </w:tc>
        <w:tc>
          <w:tcPr>
            <w:tcW w:w="16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DBE5F1"/>
            </w:tcBorders>
            <w:shd w:val="clear" w:color="auto" w:fill="DBE5F1"/>
          </w:tcPr>
          <w:p>
            <w:pPr>
              <w:spacing w:after="0"/>
              <w:rPr>
                <w:sz w:val="10"/>
                <w:szCs w:val="10"/>
                <w:color w:val="auto"/>
              </w:rPr>
            </w:pPr>
          </w:p>
        </w:tc>
        <w:tc>
          <w:tcPr>
            <w:tcW w:w="16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2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70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70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9"/>
        </w:trPr>
        <w:tc>
          <w:tcPr>
            <w:tcW w:w="3060" w:type="dxa"/>
            <w:vAlign w:val="bottom"/>
            <w:shd w:val="clear" w:color="auto" w:fill="DBE5F1"/>
          </w:tcPr>
          <w:p>
            <w:pPr>
              <w:ind w:left="440"/>
              <w:spacing w:after="0" w:line="189" w:lineRule="exact"/>
              <w:rPr>
                <w:sz w:val="20"/>
                <w:szCs w:val="20"/>
                <w:color w:val="auto"/>
              </w:rPr>
            </w:pPr>
            <w:r>
              <w:rPr>
                <w:rFonts w:ascii="Times New Roman" w:cs="Times New Roman" w:eastAsia="Times New Roman" w:hAnsi="Times New Roman"/>
                <w:sz w:val="14"/>
                <w:szCs w:val="14"/>
                <w:color w:val="auto"/>
              </w:rPr>
              <w:t>Adjusted for Impact of Sprint Cancellations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Non-renewals associated with Sprint</w:t>
            </w:r>
          </w:p>
        </w:tc>
        <w:tc>
          <w:tcPr>
            <w:tcW w:w="18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3060" w:type="dxa"/>
            <w:vAlign w:val="bottom"/>
            <w:tcBorders>
              <w:bottom w:val="single" w:sz="8" w:color="DBE5F1"/>
            </w:tcBorders>
          </w:tcPr>
          <w:p>
            <w:pPr>
              <w:ind w:left="300"/>
              <w:spacing w:after="0" w:line="189" w:lineRule="exact"/>
              <w:rPr>
                <w:sz w:val="20"/>
                <w:szCs w:val="20"/>
                <w:color w:val="auto"/>
              </w:rPr>
            </w:pPr>
            <w:r>
              <w:rPr>
                <w:rFonts w:ascii="Times New Roman" w:cs="Times New Roman" w:eastAsia="Times New Roman" w:hAnsi="Times New Roman"/>
                <w:sz w:val="14"/>
                <w:szCs w:val="14"/>
                <w:color w:val="auto"/>
              </w:rPr>
              <w:t>Cancellations</w:t>
            </w:r>
            <w:r>
              <w:rPr>
                <w:rFonts w:ascii="Times New Roman" w:cs="Times New Roman" w:eastAsia="Times New Roman" w:hAnsi="Times New Roman"/>
                <w:sz w:val="18"/>
                <w:szCs w:val="18"/>
                <w:color w:val="auto"/>
                <w:vertAlign w:val="superscript"/>
              </w:rPr>
              <w:t>(a)(b)</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60" w:type="dxa"/>
            <w:vAlign w:val="bottom"/>
            <w:shd w:val="clear" w:color="auto" w:fill="DBE5F1"/>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87"/>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2"/>
        </w:trPr>
        <w:tc>
          <w:tcPr>
            <w:tcW w:w="30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87"/>
        </w:trPr>
        <w:tc>
          <w:tcPr>
            <w:tcW w:w="3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92"/>
        </w:trPr>
        <w:tc>
          <w:tcPr>
            <w:tcW w:w="30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1,624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1,580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6,532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6,358</w:t>
            </w:r>
          </w:p>
        </w:tc>
        <w:tc>
          <w:tcPr>
            <w:tcW w:w="0" w:type="dxa"/>
            <w:vAlign w:val="bottom"/>
          </w:tcPr>
          <w:p>
            <w:pPr>
              <w:spacing w:after="0"/>
              <w:rPr>
                <w:sz w:val="1"/>
                <w:szCs w:val="1"/>
                <w:color w:val="auto"/>
              </w:rPr>
            </w:pPr>
          </w:p>
        </w:tc>
      </w:tr>
      <w:tr>
        <w:trPr>
          <w:trHeight w:val="20"/>
        </w:trPr>
        <w:tc>
          <w:tcPr>
            <w:tcW w:w="306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06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0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54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52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70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70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Site rental revenues as a percentage of prior year</w:t>
            </w: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30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site rental revenues</w:t>
            </w: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Adjusted for Impact of Sprint Cancellations as a</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9"/>
        </w:trPr>
        <w:tc>
          <w:tcPr>
            <w:tcW w:w="306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DBE5F1"/>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 a</w:t>
            </w: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89"/>
        </w:trPr>
        <w:tc>
          <w:tcPr>
            <w:tcW w:w="3060" w:type="dxa"/>
            <w:vAlign w:val="bottom"/>
            <w:shd w:val="clear" w:color="auto" w:fill="DBE5F1"/>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5" w:hanging="285"/>
        <w:spacing w:after="0" w:line="247" w:lineRule="auto"/>
        <w:tabs>
          <w:tab w:leader="none" w:pos="28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and Organic Contribution to Site Rental Billings as Adjusted for Impact of Sprint Cancellations.</w:t>
      </w:r>
    </w:p>
    <w:p>
      <w:pPr>
        <w:ind w:left="285" w:right="20" w:hanging="285"/>
        <w:spacing w:after="0" w:line="246" w:lineRule="auto"/>
        <w:tabs>
          <w:tab w:leader="none" w:pos="27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$5 million and $2 million of non-renewals associated with Sprint Cancellations that related to small cells and fiber solutions, respectively, and in full year 2023, there were $14 million and $7 million of non-renewals associated with Sprint Cancellations that related to small cells and fiber solutions, respectively.</w:t>
      </w:r>
    </w:p>
    <w:p>
      <w:pPr>
        <w:spacing w:after="0" w:line="1" w:lineRule="exact"/>
        <w:rPr>
          <w:rFonts w:ascii="Times New Roman" w:cs="Times New Roman" w:eastAsia="Times New Roman" w:hAnsi="Times New Roman"/>
          <w:sz w:val="13"/>
          <w:szCs w:val="13"/>
          <w:color w:val="auto"/>
        </w:rPr>
      </w:pPr>
    </w:p>
    <w:p>
      <w:pPr>
        <w:ind w:left="285" w:right="20" w:hanging="285"/>
        <w:spacing w:after="0" w:line="253" w:lineRule="auto"/>
        <w:tabs>
          <w:tab w:leader="none" w:pos="283"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65"/>
          </w:cols>
          <w:pgMar w:left="315" w:top="120" w:right="319" w:bottom="1440" w:gutter="0" w:footer="0" w:header="0"/>
        </w:sectPr>
      </w:pPr>
    </w:p>
    <w:bookmarkStart w:id="44" w:name="page45"/>
    <w:bookmarkEnd w:id="44"/>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6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580" w:type="dxa"/>
            <w:vAlign w:val="bottom"/>
            <w:tcBorders>
              <w:top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60" w:type="dxa"/>
            <w:vAlign w:val="bottom"/>
            <w:tcBorders>
              <w:left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CONSOLIDATED SUMMARY OF CAPITAL EXPENDITURES</w:t>
      </w:r>
      <w:r>
        <w:rPr>
          <w:rFonts w:ascii="Times New Roman" w:cs="Times New Roman" w:eastAsia="Times New Roman" w:hAnsi="Times New Roman"/>
          <w:sz w:val="18"/>
          <w:szCs w:val="18"/>
          <w:b w:val="1"/>
          <w:bCs w:val="1"/>
          <w:color w:val="auto"/>
          <w:vertAlign w:val="superscript"/>
        </w:rPr>
        <w:t>(a)</w:t>
      </w:r>
    </w:p>
    <w:tbl>
      <w:tblPr>
        <w:tblLayout w:type="fixed"/>
        <w:tblInd w:w="5" w:type="dxa"/>
        <w:tblCellMar>
          <w:top w:w="0" w:type="dxa"/>
          <w:left w:w="0" w:type="dxa"/>
          <w:bottom w:w="0" w:type="dxa"/>
          <w:right w:w="0" w:type="dxa"/>
        </w:tblCellMar>
      </w:tblPr>
      <w:tr>
        <w:trPr>
          <w:trHeight w:val="134"/>
        </w:trPr>
        <w:tc>
          <w:tcPr>
            <w:tcW w:w="20" w:type="dxa"/>
            <w:vAlign w:val="bottom"/>
            <w:tcBorders>
              <w:top w:val="single" w:sz="8" w:color="auto"/>
            </w:tcBorders>
            <w:shd w:val="clear" w:color="auto" w:fill="D9D9D9"/>
          </w:tcPr>
          <w:p>
            <w:pPr>
              <w:spacing w:after="0"/>
              <w:rPr>
                <w:sz w:val="11"/>
                <w:szCs w:val="11"/>
                <w:color w:val="auto"/>
              </w:rPr>
            </w:pPr>
          </w:p>
        </w:tc>
        <w:tc>
          <w:tcPr>
            <w:tcW w:w="3420" w:type="dxa"/>
            <w:vAlign w:val="bottom"/>
            <w:tcBorders>
              <w:top w:val="single" w:sz="8" w:color="auto"/>
            </w:tcBorders>
            <w:shd w:val="clear" w:color="auto" w:fill="D9D9D9"/>
          </w:tcPr>
          <w:p>
            <w:pPr>
              <w:spacing w:after="0"/>
              <w:rPr>
                <w:sz w:val="11"/>
                <w:szCs w:val="11"/>
                <w:color w:val="auto"/>
              </w:rPr>
            </w:pPr>
          </w:p>
        </w:tc>
        <w:tc>
          <w:tcPr>
            <w:tcW w:w="940" w:type="dxa"/>
            <w:vAlign w:val="bottom"/>
            <w:tcBorders>
              <w:top w:val="single" w:sz="8" w:color="auto"/>
            </w:tcBorders>
            <w:shd w:val="clear" w:color="auto" w:fill="D9D9D9"/>
          </w:tcPr>
          <w:p>
            <w:pPr>
              <w:spacing w:after="0"/>
              <w:rPr>
                <w:sz w:val="11"/>
                <w:szCs w:val="11"/>
                <w:color w:val="auto"/>
              </w:rPr>
            </w:pPr>
          </w:p>
        </w:tc>
        <w:tc>
          <w:tcPr>
            <w:tcW w:w="140" w:type="dxa"/>
            <w:vAlign w:val="bottom"/>
            <w:tcBorders>
              <w:top w:val="single" w:sz="8" w:color="auto"/>
            </w:tcBorders>
            <w:shd w:val="clear" w:color="auto" w:fill="D9D9D9"/>
          </w:tcPr>
          <w:p>
            <w:pPr>
              <w:spacing w:after="0"/>
              <w:rPr>
                <w:sz w:val="11"/>
                <w:szCs w:val="11"/>
                <w:color w:val="auto"/>
              </w:rPr>
            </w:pPr>
          </w:p>
        </w:tc>
        <w:tc>
          <w:tcPr>
            <w:tcW w:w="40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120" w:type="dxa"/>
            <w:vAlign w:val="bottom"/>
            <w:tcBorders>
              <w:top w:val="single" w:sz="8" w:color="auto"/>
            </w:tcBorders>
            <w:shd w:val="clear" w:color="auto" w:fill="D9D9D9"/>
          </w:tcPr>
          <w:p>
            <w:pPr>
              <w:spacing w:after="0"/>
              <w:rPr>
                <w:sz w:val="11"/>
                <w:szCs w:val="11"/>
                <w:color w:val="auto"/>
              </w:rPr>
            </w:pPr>
          </w:p>
        </w:tc>
        <w:tc>
          <w:tcPr>
            <w:tcW w:w="300" w:type="dxa"/>
            <w:vAlign w:val="bottom"/>
            <w:tcBorders>
              <w:top w:val="single" w:sz="8" w:color="auto"/>
            </w:tcBorders>
            <w:shd w:val="clear" w:color="auto" w:fill="D9D9D9"/>
          </w:tcPr>
          <w:p>
            <w:pPr>
              <w:spacing w:after="0"/>
              <w:rPr>
                <w:sz w:val="11"/>
                <w:szCs w:val="11"/>
                <w:color w:val="auto"/>
              </w:rPr>
            </w:pPr>
          </w:p>
        </w:tc>
        <w:tc>
          <w:tcPr>
            <w:tcW w:w="340" w:type="dxa"/>
            <w:vAlign w:val="bottom"/>
            <w:tcBorders>
              <w:top w:val="single" w:sz="8" w:color="auto"/>
            </w:tcBorders>
            <w:gridSpan w:val="3"/>
            <w:vMerge w:val="restart"/>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140" w:type="dxa"/>
            <w:vAlign w:val="bottom"/>
            <w:tcBorders>
              <w:top w:val="single" w:sz="8" w:color="auto"/>
            </w:tcBorders>
            <w:shd w:val="clear" w:color="auto" w:fill="D9D9D9"/>
          </w:tcPr>
          <w:p>
            <w:pPr>
              <w:spacing w:after="0"/>
              <w:rPr>
                <w:sz w:val="11"/>
                <w:szCs w:val="11"/>
                <w:color w:val="auto"/>
              </w:rPr>
            </w:pPr>
          </w:p>
        </w:tc>
        <w:tc>
          <w:tcPr>
            <w:tcW w:w="40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60" w:type="dxa"/>
            <w:vAlign w:val="bottom"/>
            <w:tcBorders>
              <w:top w:val="single" w:sz="8" w:color="auto"/>
            </w:tcBorders>
            <w:shd w:val="clear" w:color="auto" w:fill="D9D9D9"/>
          </w:tcPr>
          <w:p>
            <w:pPr>
              <w:spacing w:after="0"/>
              <w:rPr>
                <w:sz w:val="11"/>
                <w:szCs w:val="11"/>
                <w:color w:val="auto"/>
              </w:rPr>
            </w:pPr>
          </w:p>
        </w:tc>
        <w:tc>
          <w:tcPr>
            <w:tcW w:w="20" w:type="dxa"/>
            <w:vAlign w:val="bottom"/>
            <w:tcBorders>
              <w:top w:val="single" w:sz="8" w:color="auto"/>
            </w:tcBorders>
            <w:shd w:val="clear" w:color="auto" w:fill="D9D9D9"/>
          </w:tcPr>
          <w:p>
            <w:pPr>
              <w:spacing w:after="0"/>
              <w:rPr>
                <w:sz w:val="11"/>
                <w:szCs w:val="11"/>
                <w:color w:val="auto"/>
              </w:rPr>
            </w:pPr>
          </w:p>
        </w:tc>
        <w:tc>
          <w:tcPr>
            <w:tcW w:w="44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320" w:type="dxa"/>
            <w:vAlign w:val="bottom"/>
            <w:tcBorders>
              <w:top w:val="single" w:sz="8" w:color="auto"/>
            </w:tcBorders>
            <w:shd w:val="clear" w:color="auto" w:fill="D9D9D9"/>
          </w:tcPr>
          <w:p>
            <w:pPr>
              <w:spacing w:after="0"/>
              <w:rPr>
                <w:sz w:val="11"/>
                <w:szCs w:val="11"/>
                <w:color w:val="auto"/>
              </w:rPr>
            </w:pPr>
          </w:p>
        </w:tc>
        <w:tc>
          <w:tcPr>
            <w:tcW w:w="340" w:type="dxa"/>
            <w:vAlign w:val="bottom"/>
            <w:tcBorders>
              <w:top w:val="single" w:sz="8" w:color="auto"/>
            </w:tcBorders>
            <w:gridSpan w:val="3"/>
            <w:vMerge w:val="restart"/>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200" w:type="dxa"/>
            <w:vAlign w:val="bottom"/>
            <w:tcBorders>
              <w:top w:val="single" w:sz="8" w:color="auto"/>
            </w:tcBorders>
            <w:shd w:val="clear" w:color="auto" w:fill="D9D9D9"/>
          </w:tcPr>
          <w:p>
            <w:pPr>
              <w:spacing w:after="0"/>
              <w:rPr>
                <w:sz w:val="11"/>
                <w:szCs w:val="11"/>
                <w:color w:val="auto"/>
              </w:rPr>
            </w:pPr>
          </w:p>
        </w:tc>
        <w:tc>
          <w:tcPr>
            <w:tcW w:w="340" w:type="dxa"/>
            <w:vAlign w:val="bottom"/>
            <w:tcBorders>
              <w:top w:val="single" w:sz="8" w:color="auto"/>
            </w:tcBorders>
            <w:shd w:val="clear" w:color="auto" w:fill="D9D9D9"/>
          </w:tcPr>
          <w:p>
            <w:pPr>
              <w:spacing w:after="0"/>
              <w:rPr>
                <w:sz w:val="11"/>
                <w:szCs w:val="11"/>
                <w:color w:val="auto"/>
              </w:rPr>
            </w:pPr>
          </w:p>
        </w:tc>
        <w:tc>
          <w:tcPr>
            <w:tcW w:w="80" w:type="dxa"/>
            <w:vAlign w:val="bottom"/>
            <w:tcBorders>
              <w:top w:val="single" w:sz="8" w:color="auto"/>
            </w:tcBorders>
            <w:shd w:val="clear" w:color="auto" w:fill="D9D9D9"/>
          </w:tcPr>
          <w:p>
            <w:pPr>
              <w:spacing w:after="0"/>
              <w:rPr>
                <w:sz w:val="11"/>
                <w:szCs w:val="11"/>
                <w:color w:val="auto"/>
              </w:rPr>
            </w:pPr>
          </w:p>
        </w:tc>
        <w:tc>
          <w:tcPr>
            <w:tcW w:w="100" w:type="dxa"/>
            <w:vAlign w:val="bottom"/>
            <w:tcBorders>
              <w:top w:val="single" w:sz="8" w:color="auto"/>
            </w:tcBorders>
            <w:shd w:val="clear" w:color="auto" w:fill="D9D9D9"/>
          </w:tcPr>
          <w:p>
            <w:pPr>
              <w:spacing w:after="0"/>
              <w:rPr>
                <w:sz w:val="11"/>
                <w:szCs w:val="11"/>
                <w:color w:val="auto"/>
              </w:rPr>
            </w:pPr>
          </w:p>
        </w:tc>
        <w:tc>
          <w:tcPr>
            <w:tcW w:w="1740" w:type="dxa"/>
            <w:vAlign w:val="bottom"/>
            <w:tcBorders>
              <w:top w:val="single" w:sz="8" w:color="auto"/>
            </w:tcBorders>
            <w:gridSpan w:val="4"/>
            <w:shd w:val="clear" w:color="auto" w:fill="D9D9D9"/>
          </w:tcPr>
          <w:p>
            <w:pPr>
              <w:jc w:val="right"/>
              <w:ind w:right="169"/>
              <w:spacing w:after="0" w:line="134"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D9D9D9"/>
            </w:tcBorders>
            <w:shd w:val="clear" w:color="auto" w:fill="D9D9D9"/>
          </w:tcPr>
          <w:p>
            <w:pPr>
              <w:spacing w:after="0"/>
              <w:rPr>
                <w:sz w:val="16"/>
                <w:szCs w:val="16"/>
                <w:color w:val="auto"/>
              </w:rPr>
            </w:pPr>
          </w:p>
        </w:tc>
        <w:tc>
          <w:tcPr>
            <w:tcW w:w="3420" w:type="dxa"/>
            <w:vAlign w:val="bottom"/>
            <w:tcBorders>
              <w:bottom w:val="single" w:sz="8" w:color="D9D9D9"/>
            </w:tcBorders>
            <w:shd w:val="clear" w:color="auto" w:fill="D9D9D9"/>
          </w:tcPr>
          <w:p>
            <w:pPr>
              <w:spacing w:after="0"/>
              <w:rPr>
                <w:sz w:val="16"/>
                <w:szCs w:val="16"/>
                <w:color w:val="auto"/>
              </w:rPr>
            </w:pPr>
          </w:p>
        </w:tc>
        <w:tc>
          <w:tcPr>
            <w:tcW w:w="940" w:type="dxa"/>
            <w:vAlign w:val="bottom"/>
            <w:tcBorders>
              <w:bottom w:val="single" w:sz="8" w:color="D9D9D9"/>
            </w:tcBorders>
            <w:shd w:val="clear" w:color="auto" w:fill="D9D9D9"/>
          </w:tcPr>
          <w:p>
            <w:pPr>
              <w:spacing w:after="0"/>
              <w:rPr>
                <w:sz w:val="16"/>
                <w:szCs w:val="16"/>
                <w:color w:val="auto"/>
              </w:rPr>
            </w:pPr>
          </w:p>
        </w:tc>
        <w:tc>
          <w:tcPr>
            <w:tcW w:w="140" w:type="dxa"/>
            <w:vAlign w:val="bottom"/>
            <w:tcBorders>
              <w:bottom w:val="single" w:sz="8" w:color="auto"/>
            </w:tcBorders>
            <w:shd w:val="clear" w:color="auto" w:fill="D9D9D9"/>
          </w:tcPr>
          <w:p>
            <w:pPr>
              <w:spacing w:after="0"/>
              <w:rPr>
                <w:sz w:val="16"/>
                <w:szCs w:val="16"/>
                <w:color w:val="auto"/>
              </w:rPr>
            </w:pPr>
          </w:p>
        </w:tc>
        <w:tc>
          <w:tcPr>
            <w:tcW w:w="40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20" w:type="dxa"/>
            <w:vAlign w:val="bottom"/>
            <w:tcBorders>
              <w:bottom w:val="single" w:sz="8" w:color="auto"/>
            </w:tcBorders>
            <w:shd w:val="clear" w:color="auto" w:fill="D9D9D9"/>
          </w:tcPr>
          <w:p>
            <w:pPr>
              <w:spacing w:after="0"/>
              <w:rPr>
                <w:sz w:val="16"/>
                <w:szCs w:val="16"/>
                <w:color w:val="auto"/>
              </w:rPr>
            </w:pPr>
          </w:p>
        </w:tc>
        <w:tc>
          <w:tcPr>
            <w:tcW w:w="30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tcBorders>
            <w:gridSpan w:val="3"/>
            <w:vMerge w:val="continue"/>
            <w:shd w:val="clear" w:color="auto" w:fill="D9D9D9"/>
          </w:tcPr>
          <w:p>
            <w:pPr>
              <w:spacing w:after="0"/>
              <w:rPr>
                <w:sz w:val="16"/>
                <w:szCs w:val="16"/>
                <w:color w:val="auto"/>
              </w:rPr>
            </w:pPr>
          </w:p>
        </w:tc>
        <w:tc>
          <w:tcPr>
            <w:tcW w:w="3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40" w:type="dxa"/>
            <w:vAlign w:val="bottom"/>
            <w:tcBorders>
              <w:bottom w:val="single" w:sz="8" w:color="auto"/>
            </w:tcBorders>
            <w:shd w:val="clear" w:color="auto" w:fill="D9D9D9"/>
          </w:tcPr>
          <w:p>
            <w:pPr>
              <w:spacing w:after="0"/>
              <w:rPr>
                <w:sz w:val="16"/>
                <w:szCs w:val="16"/>
                <w:color w:val="auto"/>
              </w:rPr>
            </w:pPr>
          </w:p>
        </w:tc>
        <w:tc>
          <w:tcPr>
            <w:tcW w:w="4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D9D9D9"/>
            </w:tcBorders>
            <w:shd w:val="clear" w:color="auto" w:fill="D9D9D9"/>
          </w:tcPr>
          <w:p>
            <w:pPr>
              <w:spacing w:after="0"/>
              <w:rPr>
                <w:sz w:val="16"/>
                <w:szCs w:val="16"/>
                <w:color w:val="auto"/>
              </w:rPr>
            </w:pPr>
          </w:p>
        </w:tc>
        <w:tc>
          <w:tcPr>
            <w:tcW w:w="60" w:type="dxa"/>
            <w:vAlign w:val="bottom"/>
            <w:tcBorders>
              <w:bottom w:val="single" w:sz="8" w:color="auto"/>
            </w:tcBorders>
            <w:shd w:val="clear" w:color="auto" w:fill="D9D9D9"/>
          </w:tcPr>
          <w:p>
            <w:pPr>
              <w:spacing w:after="0"/>
              <w:rPr>
                <w:sz w:val="16"/>
                <w:szCs w:val="16"/>
                <w:color w:val="auto"/>
              </w:rPr>
            </w:pPr>
          </w:p>
        </w:tc>
        <w:tc>
          <w:tcPr>
            <w:tcW w:w="20" w:type="dxa"/>
            <w:vAlign w:val="bottom"/>
            <w:tcBorders>
              <w:bottom w:val="single" w:sz="8" w:color="auto"/>
            </w:tcBorders>
            <w:shd w:val="clear" w:color="auto" w:fill="D9D9D9"/>
          </w:tcPr>
          <w:p>
            <w:pPr>
              <w:spacing w:after="0"/>
              <w:rPr>
                <w:sz w:val="16"/>
                <w:szCs w:val="16"/>
                <w:color w:val="auto"/>
              </w:rPr>
            </w:pPr>
          </w:p>
        </w:tc>
        <w:tc>
          <w:tcPr>
            <w:tcW w:w="44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32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tcBorders>
            <w:gridSpan w:val="3"/>
            <w:vMerge w:val="continue"/>
            <w:shd w:val="clear" w:color="auto" w:fill="D9D9D9"/>
          </w:tcPr>
          <w:p>
            <w:pPr>
              <w:spacing w:after="0"/>
              <w:rPr>
                <w:sz w:val="16"/>
                <w:szCs w:val="16"/>
                <w:color w:val="auto"/>
              </w:rPr>
            </w:pPr>
          </w:p>
        </w:tc>
        <w:tc>
          <w:tcPr>
            <w:tcW w:w="32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740" w:type="dxa"/>
            <w:vAlign w:val="bottom"/>
            <w:tcBorders>
              <w:bottom w:val="single" w:sz="8" w:color="auto"/>
            </w:tcBorders>
            <w:gridSpan w:val="4"/>
            <w:shd w:val="clear" w:color="auto" w:fill="D9D9D9"/>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4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94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480" w:type="dxa"/>
            <w:vAlign w:val="bottom"/>
            <w:tcBorders>
              <w:bottom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4"/>
                <w:szCs w:val="14"/>
                <w:b w:val="1"/>
                <w:bCs w:val="1"/>
                <w:color w:val="auto"/>
              </w:rPr>
              <w:t>Q1</w:t>
            </w:r>
          </w:p>
        </w:tc>
        <w:tc>
          <w:tcPr>
            <w:tcW w:w="120" w:type="dxa"/>
            <w:vAlign w:val="bottom"/>
            <w:tcBorders>
              <w:bottom w:val="single" w:sz="8" w:color="auto"/>
            </w:tcBorders>
            <w:shd w:val="clear" w:color="auto" w:fill="D9D9D9"/>
          </w:tcPr>
          <w:p>
            <w:pPr>
              <w:spacing w:after="0"/>
              <w:rPr>
                <w:sz w:val="15"/>
                <w:szCs w:val="15"/>
                <w:color w:val="auto"/>
              </w:rPr>
            </w:pPr>
          </w:p>
        </w:tc>
        <w:tc>
          <w:tcPr>
            <w:tcW w:w="30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46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Q3</w:t>
            </w:r>
          </w:p>
        </w:tc>
        <w:tc>
          <w:tcPr>
            <w:tcW w:w="140" w:type="dxa"/>
            <w:vAlign w:val="bottom"/>
            <w:tcBorders>
              <w:bottom w:val="single" w:sz="8" w:color="auto"/>
            </w:tcBorders>
            <w:shd w:val="clear" w:color="auto" w:fill="D9D9D9"/>
          </w:tcPr>
          <w:p>
            <w:pPr>
              <w:spacing w:after="0"/>
              <w:rPr>
                <w:sz w:val="15"/>
                <w:szCs w:val="15"/>
                <w:color w:val="auto"/>
              </w:rPr>
            </w:pPr>
          </w:p>
        </w:tc>
        <w:tc>
          <w:tcPr>
            <w:tcW w:w="400" w:type="dxa"/>
            <w:vAlign w:val="bottom"/>
            <w:tcBorders>
              <w:bottom w:val="single" w:sz="8" w:color="auto"/>
            </w:tcBorders>
            <w:shd w:val="clear" w:color="auto" w:fill="D9D9D9"/>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Borders>
              <w:bottom w:val="single" w:sz="8" w:color="auto"/>
            </w:tcBorders>
            <w:shd w:val="clear" w:color="auto" w:fill="D9D9D9"/>
          </w:tcPr>
          <w:p>
            <w:pPr>
              <w:spacing w:after="0"/>
              <w:rPr>
                <w:sz w:val="15"/>
                <w:szCs w:val="15"/>
                <w:color w:val="auto"/>
              </w:rPr>
            </w:pPr>
          </w:p>
        </w:tc>
        <w:tc>
          <w:tcPr>
            <w:tcW w:w="60" w:type="dxa"/>
            <w:vAlign w:val="bottom"/>
            <w:tcBorders>
              <w:bottom w:val="single" w:sz="8" w:color="auto"/>
            </w:tcBorders>
            <w:shd w:val="clear" w:color="auto" w:fill="D9D9D9"/>
          </w:tcPr>
          <w:p>
            <w:pPr>
              <w:spacing w:after="0"/>
              <w:rPr>
                <w:sz w:val="15"/>
                <w:szCs w:val="15"/>
                <w:color w:val="auto"/>
              </w:rPr>
            </w:pPr>
          </w:p>
        </w:tc>
        <w:tc>
          <w:tcPr>
            <w:tcW w:w="2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gridSpan w:val="2"/>
            <w:shd w:val="clear" w:color="auto" w:fill="D9D9D9"/>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Borders>
              <w:bottom w:val="single" w:sz="8" w:color="auto"/>
            </w:tcBorders>
            <w:shd w:val="clear" w:color="auto" w:fill="D9D9D9"/>
          </w:tcPr>
          <w:p>
            <w:pPr>
              <w:spacing w:after="0"/>
              <w:rPr>
                <w:sz w:val="15"/>
                <w:szCs w:val="15"/>
                <w:color w:val="auto"/>
              </w:rPr>
            </w:pPr>
          </w:p>
        </w:tc>
        <w:tc>
          <w:tcPr>
            <w:tcW w:w="32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Q2</w:t>
            </w:r>
          </w:p>
        </w:tc>
        <w:tc>
          <w:tcPr>
            <w:tcW w:w="12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320" w:type="dxa"/>
            <w:vAlign w:val="bottom"/>
            <w:tcBorders>
              <w:bottom w:val="single" w:sz="8" w:color="auto"/>
            </w:tcBorders>
            <w:shd w:val="clear" w:color="auto" w:fill="D9D9D9"/>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gridSpan w:val="2"/>
            <w:shd w:val="clear" w:color="auto" w:fill="D9D9D9"/>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780" w:type="dxa"/>
            <w:vAlign w:val="bottom"/>
            <w:tcBorders>
              <w:bottom w:val="single" w:sz="8" w:color="auto"/>
            </w:tcBorders>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9D9D9"/>
          </w:tcPr>
          <w:p>
            <w:pPr>
              <w:spacing w:after="0"/>
              <w:rPr>
                <w:sz w:val="15"/>
                <w:szCs w:val="15"/>
                <w:color w:val="auto"/>
              </w:rPr>
            </w:pPr>
          </w:p>
        </w:tc>
        <w:tc>
          <w:tcPr>
            <w:tcW w:w="300" w:type="dxa"/>
            <w:vAlign w:val="bottom"/>
            <w:tcBorders>
              <w:bottom w:val="single" w:sz="8" w:color="auto"/>
            </w:tcBorders>
            <w:shd w:val="clear" w:color="auto" w:fill="D9D9D9"/>
          </w:tcPr>
          <w:p>
            <w:pPr>
              <w:spacing w:after="0"/>
              <w:rPr>
                <w:sz w:val="15"/>
                <w:szCs w:val="15"/>
                <w:color w:val="auto"/>
              </w:rPr>
            </w:pPr>
          </w:p>
        </w:tc>
        <w:tc>
          <w:tcPr>
            <w:tcW w:w="580" w:type="dxa"/>
            <w:vAlign w:val="bottom"/>
            <w:tcBorders>
              <w:bottom w:val="single" w:sz="8" w:color="auto"/>
            </w:tcBorders>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BE5F1"/>
          </w:tcPr>
          <w:p>
            <w:pPr>
              <w:spacing w:after="0"/>
              <w:rPr>
                <w:sz w:val="16"/>
                <w:szCs w:val="16"/>
                <w:color w:val="auto"/>
              </w:rPr>
            </w:pPr>
          </w:p>
        </w:tc>
        <w:tc>
          <w:tcPr>
            <w:tcW w:w="4500" w:type="dxa"/>
            <w:vAlign w:val="bottom"/>
            <w:gridSpan w:val="3"/>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Communications infrastructure improvements and other capital projects $</w:t>
            </w: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34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316</w:t>
            </w:r>
          </w:p>
        </w:tc>
        <w:tc>
          <w:tcPr>
            <w:tcW w:w="18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34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6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5"/>
              </w:rPr>
              <w:t>241</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DBE5F1"/>
            </w:tcBorders>
          </w:tcPr>
          <w:p>
            <w:pPr>
              <w:spacing w:after="0"/>
              <w:rPr>
                <w:sz w:val="16"/>
                <w:szCs w:val="16"/>
                <w:color w:val="auto"/>
              </w:rPr>
            </w:pPr>
          </w:p>
        </w:tc>
        <w:tc>
          <w:tcPr>
            <w:tcW w:w="3420" w:type="dxa"/>
            <w:vAlign w:val="bottom"/>
            <w:tcBorders>
              <w:bottom w:val="single" w:sz="8" w:color="DBE5F1"/>
            </w:tcBorders>
          </w:tcPr>
          <w:p>
            <w:pPr>
              <w:ind w:left="22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94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discretionary capital expenditures</w:t>
            </w:r>
          </w:p>
        </w:tc>
        <w:tc>
          <w:tcPr>
            <w:tcW w:w="94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4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3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5"/>
              </w:rPr>
              <w:t>261</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7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5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tcBorders>
              <w:bottom w:val="single" w:sz="8" w:color="DBE5F1"/>
            </w:tcBorders>
            <w:gridSpan w:val="2"/>
          </w:tcPr>
          <w:p>
            <w:pPr>
              <w:ind w:left="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94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40" w:type="dxa"/>
            <w:vAlign w:val="bottom"/>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94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341</w:t>
            </w: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4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3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5"/>
              </w:rPr>
              <w:t>276</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7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5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Less: Prepaid rent additions</w:t>
            </w:r>
            <w:r>
              <w:rPr>
                <w:rFonts w:ascii="Times New Roman" w:cs="Times New Roman" w:eastAsia="Times New Roman" w:hAnsi="Times New Roman"/>
                <w:sz w:val="18"/>
                <w:szCs w:val="18"/>
                <w:color w:val="auto"/>
                <w:vertAlign w:val="superscript"/>
              </w:rPr>
              <w:t>(b)</w:t>
            </w:r>
          </w:p>
        </w:tc>
        <w:tc>
          <w:tcPr>
            <w:tcW w:w="94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5"/>
              </w:rPr>
              <w:t>159</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440" w:type="dxa"/>
            <w:vAlign w:val="bottom"/>
            <w:tcBorders>
              <w:bottom w:val="single" w:sz="8" w:color="DBE5F1"/>
            </w:tcBorders>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Capital expenditures less prepaid rent additions</w:t>
            </w:r>
          </w:p>
        </w:tc>
        <w:tc>
          <w:tcPr>
            <w:tcW w:w="94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Borders>
              <w:bottom w:val="single" w:sz="8" w:color="DBE5F1"/>
            </w:tcBorders>
            <w:shd w:val="clear" w:color="auto" w:fill="DBE5F1"/>
          </w:tcPr>
          <w:p>
            <w:pPr>
              <w:spacing w:after="0"/>
              <w:rPr>
                <w:sz w:val="17"/>
                <w:szCs w:val="17"/>
                <w:color w:val="auto"/>
              </w:rPr>
            </w:pPr>
          </w:p>
        </w:tc>
        <w:tc>
          <w:tcPr>
            <w:tcW w:w="1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0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5"/>
              </w:rPr>
              <w:t>117</w:t>
            </w:r>
          </w:p>
        </w:tc>
        <w:tc>
          <w:tcPr>
            <w:tcW w:w="8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bottom w:val="single" w:sz="8" w:color="DBE5F1"/>
            </w:tcBorders>
            <w:shd w:val="clear" w:color="auto" w:fill="DBE5F1"/>
          </w:tcPr>
          <w:p>
            <w:pPr>
              <w:spacing w:after="0"/>
              <w:rPr>
                <w:sz w:val="17"/>
                <w:szCs w:val="17"/>
                <w:color w:val="auto"/>
              </w:rPr>
            </w:pPr>
          </w:p>
        </w:tc>
        <w:tc>
          <w:tcPr>
            <w:tcW w:w="300" w:type="dxa"/>
            <w:vAlign w:val="bottom"/>
            <w:tcBorders>
              <w:bottom w:val="single" w:sz="8" w:color="auto"/>
            </w:tcBorders>
            <w:shd w:val="clear" w:color="auto" w:fill="DBE5F1"/>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E5F1"/>
            </w:tcBorders>
          </w:tcPr>
          <w:p>
            <w:pPr>
              <w:spacing w:after="0" w:line="20" w:lineRule="exact"/>
              <w:rPr>
                <w:sz w:val="1"/>
                <w:szCs w:val="1"/>
                <w:color w:val="auto"/>
              </w:rPr>
            </w:pPr>
          </w:p>
        </w:tc>
        <w:tc>
          <w:tcPr>
            <w:tcW w:w="3420" w:type="dxa"/>
            <w:vAlign w:val="bottom"/>
            <w:tcBorders>
              <w:top w:val="single" w:sz="8" w:color="DBE5F1"/>
            </w:tcBorders>
          </w:tcPr>
          <w:p>
            <w:pPr>
              <w:spacing w:after="0" w:line="20" w:lineRule="exact"/>
              <w:rPr>
                <w:sz w:val="1"/>
                <w:szCs w:val="1"/>
                <w:color w:val="auto"/>
              </w:rPr>
            </w:pPr>
          </w:p>
        </w:tc>
        <w:tc>
          <w:tcPr>
            <w:tcW w:w="940" w:type="dxa"/>
            <w:vAlign w:val="bottom"/>
            <w:tcBorders>
              <w:top w:val="single" w:sz="8" w:color="DBE5F1"/>
            </w:tcBorders>
          </w:tcPr>
          <w:p>
            <w:pPr>
              <w:spacing w:after="0" w:line="20" w:lineRule="exact"/>
              <w:rPr>
                <w:sz w:val="1"/>
                <w:szCs w:val="1"/>
                <w:color w:val="auto"/>
              </w:rPr>
            </w:pPr>
          </w:p>
        </w:tc>
        <w:tc>
          <w:tcPr>
            <w:tcW w:w="540" w:type="dxa"/>
            <w:vAlign w:val="bottom"/>
            <w:tcBorders>
              <w:top w:val="single" w:sz="8" w:color="DBE5F1"/>
              <w:bottom w:val="single" w:sz="8" w:color="auto"/>
            </w:tcBorders>
            <w:gridSpan w:val="2"/>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520" w:type="dxa"/>
            <w:vAlign w:val="bottom"/>
            <w:tcBorders>
              <w:top w:val="single" w:sz="8" w:color="DBE5F1"/>
              <w:bottom w:val="single" w:sz="8" w:color="auto"/>
            </w:tcBorders>
            <w:gridSpan w:val="3"/>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520" w:type="dxa"/>
            <w:vAlign w:val="bottom"/>
            <w:tcBorders>
              <w:top w:val="single" w:sz="8" w:color="DBE5F1"/>
              <w:bottom w:val="single" w:sz="8" w:color="auto"/>
            </w:tcBorders>
            <w:gridSpan w:val="2"/>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540" w:type="dxa"/>
            <w:vAlign w:val="bottom"/>
            <w:tcBorders>
              <w:top w:val="single" w:sz="8" w:color="DBE5F1"/>
              <w:bottom w:val="single" w:sz="8" w:color="auto"/>
            </w:tcBorders>
            <w:gridSpan w:val="2"/>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gridSpan w:val="2"/>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3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7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300" w:type="dxa"/>
            <w:vAlign w:val="bottom"/>
            <w:tcBorders>
              <w:top w:val="single" w:sz="8" w:color="DBE5F1"/>
              <w:bottom w:val="single" w:sz="8" w:color="auto"/>
            </w:tcBorders>
          </w:tcPr>
          <w:p>
            <w:pPr>
              <w:spacing w:after="0" w:line="20" w:lineRule="exact"/>
              <w:rPr>
                <w:sz w:val="1"/>
                <w:szCs w:val="1"/>
                <w:color w:val="auto"/>
              </w:rPr>
            </w:pPr>
          </w:p>
        </w:tc>
        <w:tc>
          <w:tcPr>
            <w:tcW w:w="5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8"/>
          </w:tcPr>
          <w:p>
            <w:pPr>
              <w:ind w:left="400"/>
              <w:spacing w:after="0"/>
              <w:rPr>
                <w:sz w:val="20"/>
                <w:szCs w:val="20"/>
                <w:color w:val="auto"/>
              </w:rPr>
            </w:pPr>
            <w:r>
              <w:rPr>
                <w:rFonts w:ascii="Times New Roman" w:cs="Times New Roman" w:eastAsia="Times New Roman" w:hAnsi="Times New Roman"/>
                <w:sz w:val="14"/>
                <w:szCs w:val="14"/>
                <w:b w:val="1"/>
                <w:bCs w:val="1"/>
                <w:color w:val="auto"/>
              </w:rPr>
              <w:t>CONSOLIDATED RETURN ON INVESTED CAPITAL</w:t>
            </w:r>
            <w:r>
              <w:rPr>
                <w:rFonts w:ascii="Times New Roman" w:cs="Times New Roman" w:eastAsia="Times New Roman" w:hAnsi="Times New Roman"/>
                <w:sz w:val="18"/>
                <w:szCs w:val="18"/>
                <w:b w:val="1"/>
                <w:bCs w:val="1"/>
                <w:color w:val="auto"/>
                <w:vertAlign w:val="superscript"/>
              </w:rPr>
              <w:t>(c)</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4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tc>
        <w:tc>
          <w:tcPr>
            <w:tcW w:w="94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40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120" w:type="dxa"/>
            <w:vAlign w:val="bottom"/>
            <w:tcBorders>
              <w:bottom w:val="single" w:sz="8" w:color="auto"/>
            </w:tcBorders>
            <w:shd w:val="clear" w:color="auto" w:fill="D9D9D9"/>
          </w:tcPr>
          <w:p>
            <w:pPr>
              <w:spacing w:after="0"/>
              <w:rPr>
                <w:sz w:val="15"/>
                <w:szCs w:val="15"/>
                <w:color w:val="auto"/>
              </w:rPr>
            </w:pPr>
          </w:p>
        </w:tc>
        <w:tc>
          <w:tcPr>
            <w:tcW w:w="30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38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140" w:type="dxa"/>
            <w:vAlign w:val="bottom"/>
            <w:tcBorders>
              <w:bottom w:val="single" w:sz="8" w:color="auto"/>
            </w:tcBorders>
            <w:shd w:val="clear" w:color="auto" w:fill="D9D9D9"/>
          </w:tcPr>
          <w:p>
            <w:pPr>
              <w:spacing w:after="0"/>
              <w:rPr>
                <w:sz w:val="15"/>
                <w:szCs w:val="15"/>
                <w:color w:val="auto"/>
              </w:rPr>
            </w:pPr>
          </w:p>
        </w:tc>
        <w:tc>
          <w:tcPr>
            <w:tcW w:w="40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60" w:type="dxa"/>
            <w:vAlign w:val="bottom"/>
            <w:tcBorders>
              <w:bottom w:val="single" w:sz="8" w:color="auto"/>
            </w:tcBorders>
            <w:shd w:val="clear" w:color="auto" w:fill="D9D9D9"/>
          </w:tcPr>
          <w:p>
            <w:pPr>
              <w:spacing w:after="0"/>
              <w:rPr>
                <w:sz w:val="15"/>
                <w:szCs w:val="15"/>
                <w:color w:val="auto"/>
              </w:rPr>
            </w:pPr>
          </w:p>
        </w:tc>
        <w:tc>
          <w:tcPr>
            <w:tcW w:w="20" w:type="dxa"/>
            <w:vAlign w:val="bottom"/>
            <w:tcBorders>
              <w:bottom w:val="single" w:sz="8" w:color="auto"/>
            </w:tcBorders>
            <w:shd w:val="clear" w:color="auto" w:fill="D9D9D9"/>
          </w:tcPr>
          <w:p>
            <w:pPr>
              <w:spacing w:after="0"/>
              <w:rPr>
                <w:sz w:val="15"/>
                <w:szCs w:val="15"/>
                <w:color w:val="auto"/>
              </w:rPr>
            </w:pPr>
          </w:p>
        </w:tc>
        <w:tc>
          <w:tcPr>
            <w:tcW w:w="44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980" w:type="dxa"/>
            <w:vAlign w:val="bottom"/>
            <w:tcBorders>
              <w:bottom w:val="single" w:sz="8" w:color="auto"/>
            </w:tcBorders>
            <w:gridSpan w:val="5"/>
            <w:shd w:val="clear" w:color="auto" w:fill="D9D9D9"/>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8"/>
              </w:rPr>
              <w:t>Q4 2024 LQA</w:t>
            </w:r>
          </w:p>
        </w:tc>
        <w:tc>
          <w:tcPr>
            <w:tcW w:w="8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200" w:type="dxa"/>
            <w:vAlign w:val="bottom"/>
            <w:tcBorders>
              <w:bottom w:val="single" w:sz="8" w:color="auto"/>
            </w:tcBorders>
            <w:shd w:val="clear" w:color="auto" w:fill="D9D9D9"/>
          </w:tcPr>
          <w:p>
            <w:pPr>
              <w:spacing w:after="0"/>
              <w:rPr>
                <w:sz w:val="15"/>
                <w:szCs w:val="15"/>
                <w:color w:val="auto"/>
              </w:rPr>
            </w:pPr>
          </w:p>
        </w:tc>
        <w:tc>
          <w:tcPr>
            <w:tcW w:w="34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100" w:type="dxa"/>
            <w:vAlign w:val="bottom"/>
            <w:tcBorders>
              <w:bottom w:val="single" w:sz="8" w:color="auto"/>
            </w:tcBorders>
            <w:shd w:val="clear" w:color="auto" w:fill="D9D9D9"/>
          </w:tcPr>
          <w:p>
            <w:pPr>
              <w:spacing w:after="0"/>
              <w:rPr>
                <w:sz w:val="15"/>
                <w:szCs w:val="15"/>
                <w:color w:val="auto"/>
              </w:rPr>
            </w:pPr>
          </w:p>
        </w:tc>
        <w:tc>
          <w:tcPr>
            <w:tcW w:w="1160" w:type="dxa"/>
            <w:vAlign w:val="bottom"/>
            <w:tcBorders>
              <w:bottom w:val="single" w:sz="8" w:color="auto"/>
            </w:tcBorders>
            <w:gridSpan w:val="3"/>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Q4 2023 LQA</w:t>
            </w:r>
          </w:p>
        </w:tc>
        <w:tc>
          <w:tcPr>
            <w:tcW w:w="580" w:type="dxa"/>
            <w:vAlign w:val="bottom"/>
            <w:tcBorders>
              <w:bottom w:val="single" w:sz="8" w:color="auto"/>
            </w:tcBorders>
            <w:shd w:val="clear" w:color="auto" w:fill="D9D9D9"/>
          </w:tcPr>
          <w:p>
            <w:pPr>
              <w:spacing w:after="0"/>
              <w:rPr>
                <w:sz w:val="15"/>
                <w:szCs w:val="15"/>
                <w:color w:val="auto"/>
              </w:rPr>
            </w:pPr>
          </w:p>
        </w:tc>
        <w:tc>
          <w:tcPr>
            <w:tcW w:w="80" w:type="dxa"/>
            <w:vAlign w:val="bottom"/>
            <w:tcBorders>
              <w:left w:val="single" w:sz="8" w:color="D9D9D9"/>
              <w:bottom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(d)</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40" w:type="dxa"/>
            <w:vAlign w:val="bottom"/>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Cash taxes (paid) refunded</w:t>
            </w:r>
          </w:p>
        </w:tc>
        <w:tc>
          <w:tcPr>
            <w:tcW w:w="9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tcBorders>
              <w:bottom w:val="single" w:sz="8" w:color="auto"/>
            </w:tcBorders>
            <w:shd w:val="clear" w:color="auto" w:fill="DBE5F1"/>
          </w:tcPr>
          <w:p>
            <w:pPr>
              <w:spacing w:after="0"/>
              <w:rPr>
                <w:sz w:val="16"/>
                <w:szCs w:val="16"/>
                <w:color w:val="auto"/>
              </w:rPr>
            </w:pPr>
          </w:p>
        </w:tc>
        <w:tc>
          <w:tcPr>
            <w:tcW w:w="44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320" w:type="dxa"/>
            <w:vAlign w:val="bottom"/>
            <w:tcBorders>
              <w:bottom w:val="single" w:sz="8" w:color="auto"/>
            </w:tcBorders>
            <w:shd w:val="clear" w:color="auto" w:fill="DBE5F1"/>
          </w:tcPr>
          <w:p>
            <w:pPr>
              <w:spacing w:after="0"/>
              <w:rPr>
                <w:sz w:val="16"/>
                <w:szCs w:val="16"/>
                <w:color w:val="auto"/>
              </w:rPr>
            </w:pPr>
          </w:p>
        </w:tc>
        <w:tc>
          <w:tcPr>
            <w:tcW w:w="12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32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gridSpan w:val="4"/>
            <w:shd w:val="clear" w:color="auto" w:fill="DBE5F1"/>
          </w:tcPr>
          <w:p>
            <w:pPr>
              <w:jc w:val="right"/>
              <w:ind w:right="24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78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300" w:type="dxa"/>
            <w:vAlign w:val="bottom"/>
            <w:tcBorders>
              <w:bottom w:val="single" w:sz="8" w:color="auto"/>
            </w:tcBorders>
            <w:shd w:val="clear" w:color="auto" w:fill="DBE5F1"/>
          </w:tcPr>
          <w:p>
            <w:pPr>
              <w:spacing w:after="0"/>
              <w:rPr>
                <w:sz w:val="16"/>
                <w:szCs w:val="16"/>
                <w:color w:val="auto"/>
              </w:rPr>
            </w:pPr>
          </w:p>
        </w:tc>
        <w:tc>
          <w:tcPr>
            <w:tcW w:w="5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left w:val="single" w:sz="8" w:color="DBE5F1"/>
              <w:bottom w:val="single" w:sz="8" w:color="auto"/>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less cash taxes paid</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BE5F1"/>
          </w:tcPr>
          <w:p>
            <w:pPr>
              <w:spacing w:after="0"/>
              <w:rPr>
                <w:sz w:val="16"/>
                <w:szCs w:val="16"/>
                <w:color w:val="auto"/>
              </w:rPr>
            </w:pPr>
          </w:p>
        </w:tc>
        <w:tc>
          <w:tcPr>
            <w:tcW w:w="3420" w:type="dxa"/>
            <w:vAlign w:val="bottom"/>
            <w:shd w:val="clear" w:color="auto" w:fill="DBE5F1"/>
          </w:tcPr>
          <w:p>
            <w:pPr>
              <w:spacing w:after="0"/>
              <w:rPr>
                <w:sz w:val="16"/>
                <w:szCs w:val="16"/>
                <w:color w:val="auto"/>
              </w:rPr>
            </w:pPr>
          </w:p>
        </w:tc>
        <w:tc>
          <w:tcPr>
            <w:tcW w:w="9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680" w:type="dxa"/>
            <w:vAlign w:val="bottom"/>
            <w:gridSpan w:val="4"/>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7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80" w:type="dxa"/>
            <w:vAlign w:val="bottom"/>
            <w:tcBorders>
              <w:left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Historical gross investment in property and equipment</w:t>
            </w:r>
            <w:r>
              <w:rPr>
                <w:rFonts w:ascii="Times New Roman" w:cs="Times New Roman" w:eastAsia="Times New Roman" w:hAnsi="Times New Roman"/>
                <w:sz w:val="18"/>
                <w:szCs w:val="18"/>
                <w:color w:val="auto"/>
                <w:vertAlign w:val="superscript"/>
              </w:rPr>
              <w:t>(e)</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29,956</w:t>
            </w:r>
          </w:p>
        </w:tc>
        <w:tc>
          <w:tcPr>
            <w:tcW w:w="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28,811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4"/>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Historical gross investment in site rental contracts and tenant relationships</w:t>
            </w:r>
          </w:p>
        </w:tc>
        <w:tc>
          <w:tcPr>
            <w:tcW w:w="4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3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7,879</w:t>
            </w:r>
          </w:p>
        </w:tc>
        <w:tc>
          <w:tcPr>
            <w:tcW w:w="3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7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7,880</w:t>
            </w:r>
          </w:p>
        </w:tc>
        <w:tc>
          <w:tcPr>
            <w:tcW w:w="80" w:type="dxa"/>
            <w:vAlign w:val="bottom"/>
            <w:tcBorders>
              <w:left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Historical gross investment in goodwill</w:t>
            </w:r>
            <w:r>
              <w:rPr>
                <w:rFonts w:ascii="Times New Roman" w:cs="Times New Roman" w:eastAsia="Times New Roman" w:hAnsi="Times New Roman"/>
                <w:sz w:val="18"/>
                <w:szCs w:val="18"/>
                <w:color w:val="auto"/>
                <w:vertAlign w:val="superscript"/>
              </w:rPr>
              <w:t>(f)</w:t>
            </w:r>
          </w:p>
        </w:tc>
        <w:tc>
          <w:tcPr>
            <w:tcW w:w="940" w:type="dxa"/>
            <w:vAlign w:val="bottom"/>
            <w:tcBorders>
              <w:bottom w:val="single" w:sz="8" w:color="DBE5F1"/>
            </w:tcBorders>
          </w:tcPr>
          <w:p>
            <w:pPr>
              <w:spacing w:after="0"/>
              <w:rPr>
                <w:sz w:val="16"/>
                <w:szCs w:val="16"/>
                <w:color w:val="auto"/>
              </w:rPr>
            </w:pPr>
          </w:p>
        </w:tc>
        <w:tc>
          <w:tcPr>
            <w:tcW w:w="140" w:type="dxa"/>
            <w:vAlign w:val="bottom"/>
            <w:tcBorders>
              <w:bottom w:val="single" w:sz="8" w:color="DBE5F1"/>
            </w:tcBorders>
          </w:tcPr>
          <w:p>
            <w:pPr>
              <w:spacing w:after="0"/>
              <w:rPr>
                <w:sz w:val="16"/>
                <w:szCs w:val="16"/>
                <w:color w:val="auto"/>
              </w:rPr>
            </w:pPr>
          </w:p>
        </w:tc>
        <w:tc>
          <w:tcPr>
            <w:tcW w:w="40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DBE5F1"/>
            </w:tcBorders>
          </w:tcPr>
          <w:p>
            <w:pPr>
              <w:spacing w:after="0"/>
              <w:rPr>
                <w:sz w:val="16"/>
                <w:szCs w:val="16"/>
                <w:color w:val="auto"/>
              </w:rPr>
            </w:pPr>
          </w:p>
        </w:tc>
        <w:tc>
          <w:tcPr>
            <w:tcW w:w="3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DBE5F1"/>
            </w:tcBorders>
          </w:tcPr>
          <w:p>
            <w:pPr>
              <w:spacing w:after="0"/>
              <w:rPr>
                <w:sz w:val="16"/>
                <w:szCs w:val="16"/>
                <w:color w:val="auto"/>
              </w:rPr>
            </w:pPr>
          </w:p>
        </w:tc>
        <w:tc>
          <w:tcPr>
            <w:tcW w:w="38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DBE5F1"/>
            </w:tcBorders>
          </w:tcPr>
          <w:p>
            <w:pPr>
              <w:spacing w:after="0"/>
              <w:rPr>
                <w:sz w:val="16"/>
                <w:szCs w:val="16"/>
                <w:color w:val="auto"/>
              </w:rPr>
            </w:pPr>
          </w:p>
        </w:tc>
        <w:tc>
          <w:tcPr>
            <w:tcW w:w="4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10,085</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40" w:type="dxa"/>
            <w:vAlign w:val="bottom"/>
            <w:gridSpan w:val="2"/>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Consolidated Invested Capital</w:t>
            </w:r>
            <w:r>
              <w:rPr>
                <w:rFonts w:ascii="Times New Roman" w:cs="Times New Roman" w:eastAsia="Times New Roman" w:hAnsi="Times New Roman"/>
                <w:sz w:val="18"/>
                <w:szCs w:val="18"/>
                <w:color w:val="auto"/>
                <w:vertAlign w:val="superscript"/>
              </w:rPr>
              <w:t>(c)</w:t>
            </w:r>
          </w:p>
        </w:tc>
        <w:tc>
          <w:tcPr>
            <w:tcW w:w="94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440" w:type="dxa"/>
            <w:vAlign w:val="bottom"/>
            <w:shd w:val="clear" w:color="auto" w:fill="DBE5F1"/>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680" w:type="dxa"/>
            <w:vAlign w:val="bottom"/>
            <w:gridSpan w:val="4"/>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42,962</w:t>
            </w:r>
          </w:p>
        </w:tc>
        <w:tc>
          <w:tcPr>
            <w:tcW w:w="34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7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5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46,776</w:t>
            </w:r>
          </w:p>
        </w:tc>
        <w:tc>
          <w:tcPr>
            <w:tcW w:w="80" w:type="dxa"/>
            <w:vAlign w:val="bottom"/>
            <w:tcBorders>
              <w:left w:val="single" w:sz="8" w:color="DBE5F1"/>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gridSpan w:val="2"/>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Consolidated Return on Invested Capital</w:t>
            </w:r>
            <w:r>
              <w:rPr>
                <w:rFonts w:ascii="Times New Roman" w:cs="Times New Roman" w:eastAsia="Times New Roman" w:hAnsi="Times New Roman"/>
                <w:sz w:val="18"/>
                <w:szCs w:val="18"/>
                <w:color w:val="auto"/>
                <w:vertAlign w:val="superscript"/>
              </w:rPr>
              <w:t>(c)</w:t>
            </w:r>
          </w:p>
        </w:tc>
        <w:tc>
          <w:tcPr>
            <w:tcW w:w="9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700" w:type="dxa"/>
            <w:vAlign w:val="bottom"/>
            <w:gridSpan w:val="4"/>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9.7 %</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7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80" w:type="dxa"/>
            <w:vAlign w:val="bottom"/>
            <w:tcBorders>
              <w:left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CONSOLIDATED TENANT OVERVIEW</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2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2320" w:type="dxa"/>
            <w:vAlign w:val="bottom"/>
            <w:gridSpan w:val="9"/>
            <w:shd w:val="clear" w:color="auto" w:fill="D9D9D9"/>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 Q4 2024 LQA Site</w:t>
            </w:r>
          </w:p>
        </w:tc>
        <w:tc>
          <w:tcPr>
            <w:tcW w:w="3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1880" w:type="dxa"/>
            <w:vAlign w:val="bottom"/>
            <w:gridSpan w:val="11"/>
            <w:shd w:val="clear" w:color="auto" w:fill="D9D9D9"/>
          </w:tcPr>
          <w:p>
            <w:pPr>
              <w:jc w:val="center"/>
              <w:ind w:left="109"/>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 Average Current</w:t>
            </w:r>
          </w:p>
        </w:tc>
        <w:tc>
          <w:tcPr>
            <w:tcW w:w="32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2260" w:type="dxa"/>
            <w:vAlign w:val="bottom"/>
            <w:gridSpan w:val="7"/>
            <w:shd w:val="clear" w:color="auto" w:fill="D9D9D9"/>
          </w:tcPr>
          <w:p>
            <w:pPr>
              <w:jc w:val="center"/>
              <w:ind w:right="149"/>
              <w:spacing w:after="0" w:line="137" w:lineRule="exact"/>
              <w:rPr>
                <w:sz w:val="20"/>
                <w:szCs w:val="20"/>
                <w:color w:val="auto"/>
              </w:rPr>
            </w:pPr>
            <w:r>
              <w:rPr>
                <w:rFonts w:ascii="Times New Roman" w:cs="Times New Roman" w:eastAsia="Times New Roman" w:hAnsi="Times New Roman"/>
                <w:sz w:val="14"/>
                <w:szCs w:val="14"/>
                <w:b w:val="1"/>
                <w:bCs w:val="1"/>
                <w:color w:val="auto"/>
              </w:rPr>
              <w:t>Long-Term Credit Rating</w:t>
            </w:r>
          </w:p>
        </w:tc>
        <w:tc>
          <w:tcPr>
            <w:tcW w:w="80" w:type="dxa"/>
            <w:vAlign w:val="bottom"/>
            <w:tcBorders>
              <w:left w:val="single" w:sz="8" w:color="D9D9D9"/>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tcBorders>
              <w:bottom w:val="single" w:sz="8" w:color="auto"/>
            </w:tcBorders>
            <w:vMerge w:val="continue"/>
            <w:shd w:val="clear" w:color="auto" w:fill="D9D9D9"/>
          </w:tcPr>
          <w:p>
            <w:pPr>
              <w:spacing w:after="0"/>
              <w:rPr>
                <w:sz w:val="16"/>
                <w:szCs w:val="16"/>
                <w:color w:val="auto"/>
              </w:rPr>
            </w:pPr>
          </w:p>
        </w:tc>
        <w:tc>
          <w:tcPr>
            <w:tcW w:w="1980" w:type="dxa"/>
            <w:vAlign w:val="bottom"/>
            <w:tcBorders>
              <w:bottom w:val="single" w:sz="8" w:color="auto"/>
            </w:tcBorders>
            <w:gridSpan w:val="6"/>
            <w:shd w:val="clear" w:color="auto" w:fill="D9D9D9"/>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1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40" w:type="dxa"/>
            <w:vAlign w:val="bottom"/>
            <w:tcBorders>
              <w:bottom w:val="single" w:sz="8" w:color="auto"/>
            </w:tcBorders>
            <w:shd w:val="clear" w:color="auto" w:fill="D9D9D9"/>
          </w:tcPr>
          <w:p>
            <w:pPr>
              <w:spacing w:after="0"/>
              <w:rPr>
                <w:sz w:val="16"/>
                <w:szCs w:val="16"/>
                <w:color w:val="auto"/>
              </w:rPr>
            </w:pPr>
          </w:p>
        </w:tc>
        <w:tc>
          <w:tcPr>
            <w:tcW w:w="3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40" w:type="dxa"/>
            <w:vAlign w:val="bottom"/>
            <w:tcBorders>
              <w:bottom w:val="single" w:sz="8" w:color="auto"/>
            </w:tcBorders>
            <w:shd w:val="clear" w:color="auto" w:fill="D9D9D9"/>
          </w:tcPr>
          <w:p>
            <w:pPr>
              <w:spacing w:after="0"/>
              <w:rPr>
                <w:sz w:val="16"/>
                <w:szCs w:val="16"/>
                <w:color w:val="auto"/>
              </w:rPr>
            </w:pPr>
          </w:p>
        </w:tc>
        <w:tc>
          <w:tcPr>
            <w:tcW w:w="400" w:type="dxa"/>
            <w:vAlign w:val="bottom"/>
            <w:tcBorders>
              <w:bottom w:val="single" w:sz="8" w:color="auto"/>
            </w:tcBorders>
            <w:shd w:val="clear" w:color="auto" w:fill="D9D9D9"/>
          </w:tcPr>
          <w:p>
            <w:pPr>
              <w:spacing w:after="0"/>
              <w:rPr>
                <w:sz w:val="16"/>
                <w:szCs w:val="16"/>
                <w:color w:val="auto"/>
              </w:rPr>
            </w:pPr>
          </w:p>
        </w:tc>
        <w:tc>
          <w:tcPr>
            <w:tcW w:w="1480" w:type="dxa"/>
            <w:vAlign w:val="bottom"/>
            <w:tcBorders>
              <w:bottom w:val="single" w:sz="8" w:color="auto"/>
            </w:tcBorders>
            <w:gridSpan w:val="10"/>
            <w:shd w:val="clear" w:color="auto" w:fill="D9D9D9"/>
          </w:tcPr>
          <w:p>
            <w:pPr>
              <w:jc w:val="center"/>
              <w:ind w:right="109"/>
              <w:spacing w:after="0" w:line="189" w:lineRule="exact"/>
              <w:rPr>
                <w:sz w:val="20"/>
                <w:szCs w:val="20"/>
                <w:color w:val="auto"/>
              </w:rPr>
            </w:pPr>
            <w:r>
              <w:rPr>
                <w:rFonts w:ascii="Times New Roman" w:cs="Times New Roman" w:eastAsia="Times New Roman" w:hAnsi="Times New Roman"/>
                <w:sz w:val="14"/>
                <w:szCs w:val="14"/>
                <w:b w:val="1"/>
                <w:bCs w:val="1"/>
                <w:color w:val="auto"/>
                <w:w w:val="98"/>
              </w:rPr>
              <w:t>Term Remaining</w:t>
            </w:r>
            <w:r>
              <w:rPr>
                <w:rFonts w:ascii="Times New Roman" w:cs="Times New Roman" w:eastAsia="Times New Roman" w:hAnsi="Times New Roman"/>
                <w:sz w:val="18"/>
                <w:szCs w:val="18"/>
                <w:b w:val="1"/>
                <w:bCs w:val="1"/>
                <w:color w:val="auto"/>
                <w:w w:val="98"/>
                <w:vertAlign w:val="superscript"/>
              </w:rPr>
              <w:t>(g)</w:t>
            </w:r>
          </w:p>
        </w:tc>
        <w:tc>
          <w:tcPr>
            <w:tcW w:w="32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34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160" w:type="dxa"/>
            <w:vAlign w:val="bottom"/>
            <w:tcBorders>
              <w:bottom w:val="single" w:sz="8" w:color="auto"/>
            </w:tcBorders>
            <w:gridSpan w:val="3"/>
            <w:shd w:val="clear" w:color="auto" w:fill="D9D9D9"/>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(S&amp;P / Moody’s)</w:t>
            </w:r>
          </w:p>
        </w:tc>
        <w:tc>
          <w:tcPr>
            <w:tcW w:w="580" w:type="dxa"/>
            <w:vAlign w:val="bottom"/>
            <w:tcBorders>
              <w:bottom w:val="single" w:sz="8" w:color="auto"/>
            </w:tcBorders>
            <w:shd w:val="clear" w:color="auto" w:fill="D9D9D9"/>
          </w:tcPr>
          <w:p>
            <w:pPr>
              <w:spacing w:after="0"/>
              <w:rPr>
                <w:sz w:val="16"/>
                <w:szCs w:val="16"/>
                <w:color w:val="auto"/>
              </w:rPr>
            </w:pPr>
          </w:p>
        </w:tc>
        <w:tc>
          <w:tcPr>
            <w:tcW w:w="80" w:type="dxa"/>
            <w:vAlign w:val="bottom"/>
            <w:tcBorders>
              <w:left w:val="single" w:sz="8" w:color="D9D9D9"/>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T-Mobile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w w:val="85"/>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left="109"/>
              <w:spacing w:after="0"/>
              <w:rPr>
                <w:sz w:val="20"/>
                <w:szCs w:val="20"/>
                <w:color w:val="auto"/>
              </w:rPr>
            </w:pPr>
            <w:r>
              <w:rPr>
                <w:rFonts w:ascii="Times New Roman" w:cs="Times New Roman" w:eastAsia="Times New Roman" w:hAnsi="Times New Roman"/>
                <w:sz w:val="14"/>
                <w:szCs w:val="14"/>
                <w:color w:val="auto"/>
              </w:rPr>
              <w:t>BBB / Baa2</w:t>
            </w: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AT&amp;T</w:t>
            </w:r>
          </w:p>
        </w:tc>
        <w:tc>
          <w:tcPr>
            <w:tcW w:w="9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jc w:val="center"/>
              <w:ind w:left="6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center"/>
              <w:ind w:left="329"/>
              <w:spacing w:after="0"/>
              <w:rPr>
                <w:sz w:val="20"/>
                <w:szCs w:val="20"/>
                <w:color w:val="auto"/>
              </w:rPr>
            </w:pPr>
            <w:r>
              <w:rPr>
                <w:rFonts w:ascii="Times New Roman" w:cs="Times New Roman" w:eastAsia="Times New Roman" w:hAnsi="Times New Roman"/>
                <w:sz w:val="14"/>
                <w:szCs w:val="14"/>
                <w:color w:val="auto"/>
                <w:w w:val="85"/>
              </w:rPr>
              <w:t>4</w:t>
            </w: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60" w:type="dxa"/>
            <w:vAlign w:val="bottom"/>
            <w:gridSpan w:val="2"/>
            <w:shd w:val="clear" w:color="auto" w:fill="DBE5F1"/>
          </w:tcPr>
          <w:p>
            <w:pPr>
              <w:jc w:val="center"/>
              <w:ind w:left="109"/>
              <w:spacing w:after="0"/>
              <w:rPr>
                <w:sz w:val="20"/>
                <w:szCs w:val="20"/>
                <w:color w:val="auto"/>
              </w:rPr>
            </w:pPr>
            <w:r>
              <w:rPr>
                <w:rFonts w:ascii="Times New Roman" w:cs="Times New Roman" w:eastAsia="Times New Roman" w:hAnsi="Times New Roman"/>
                <w:sz w:val="14"/>
                <w:szCs w:val="14"/>
                <w:color w:val="auto"/>
              </w:rPr>
              <w:t>BBB / Baa2</w:t>
            </w:r>
          </w:p>
        </w:tc>
        <w:tc>
          <w:tcPr>
            <w:tcW w:w="30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80" w:type="dxa"/>
            <w:vAlign w:val="bottom"/>
            <w:tcBorders>
              <w:left w:val="single" w:sz="8" w:color="DBE5F1"/>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Verizon</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2"/>
          </w:tcPr>
          <w:p>
            <w:pPr>
              <w:jc w:val="center"/>
              <w:ind w:left="329"/>
              <w:spacing w:after="0"/>
              <w:rPr>
                <w:sz w:val="20"/>
                <w:szCs w:val="20"/>
                <w:color w:val="auto"/>
              </w:rPr>
            </w:pPr>
            <w:r>
              <w:rPr>
                <w:rFonts w:ascii="Times New Roman" w:cs="Times New Roman" w:eastAsia="Times New Roman" w:hAnsi="Times New Roman"/>
                <w:sz w:val="14"/>
                <w:szCs w:val="14"/>
                <w:color w:val="auto"/>
                <w:w w:val="85"/>
              </w:rPr>
              <w:t>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center"/>
              <w:ind w:right="49"/>
              <w:spacing w:after="0"/>
              <w:rPr>
                <w:sz w:val="20"/>
                <w:szCs w:val="20"/>
                <w:color w:val="auto"/>
              </w:rPr>
            </w:pPr>
            <w:r>
              <w:rPr>
                <w:rFonts w:ascii="Times New Roman" w:cs="Times New Roman" w:eastAsia="Times New Roman" w:hAnsi="Times New Roman"/>
                <w:sz w:val="14"/>
                <w:szCs w:val="14"/>
                <w:color w:val="auto"/>
              </w:rPr>
              <w:t>BBB+ / Baa1</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All Others Combined</w:t>
            </w:r>
          </w:p>
        </w:tc>
        <w:tc>
          <w:tcPr>
            <w:tcW w:w="940" w:type="dxa"/>
            <w:vAlign w:val="bottom"/>
            <w:tcBorders>
              <w:bottom w:val="single" w:sz="8" w:color="auto"/>
            </w:tcBorders>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00" w:type="dxa"/>
            <w:vAlign w:val="bottom"/>
            <w:tcBorders>
              <w:bottom w:val="single" w:sz="8" w:color="auto"/>
            </w:tcBorders>
            <w:shd w:val="clear" w:color="auto" w:fill="DBE5F1"/>
          </w:tcPr>
          <w:p>
            <w:pPr>
              <w:jc w:val="center"/>
              <w:ind w:left="6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auto"/>
            </w:tcBorders>
            <w:shd w:val="clear" w:color="auto" w:fill="DBE5F1"/>
          </w:tcPr>
          <w:p>
            <w:pPr>
              <w:spacing w:after="0"/>
              <w:rPr>
                <w:sz w:val="16"/>
                <w:szCs w:val="16"/>
                <w:color w:val="auto"/>
              </w:rPr>
            </w:pPr>
          </w:p>
        </w:tc>
        <w:tc>
          <w:tcPr>
            <w:tcW w:w="120" w:type="dxa"/>
            <w:vAlign w:val="bottom"/>
            <w:tcBorders>
              <w:bottom w:val="single" w:sz="8" w:color="auto"/>
            </w:tcBorders>
            <w:shd w:val="clear" w:color="auto" w:fill="DBE5F1"/>
          </w:tcPr>
          <w:p>
            <w:pPr>
              <w:spacing w:after="0"/>
              <w:rPr>
                <w:sz w:val="16"/>
                <w:szCs w:val="16"/>
                <w:color w:val="auto"/>
              </w:rPr>
            </w:pPr>
          </w:p>
        </w:tc>
        <w:tc>
          <w:tcPr>
            <w:tcW w:w="30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38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0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60" w:type="dxa"/>
            <w:vAlign w:val="bottom"/>
            <w:tcBorders>
              <w:bottom w:val="single" w:sz="8" w:color="auto"/>
            </w:tcBorders>
            <w:shd w:val="clear" w:color="auto" w:fill="DBE5F1"/>
          </w:tcPr>
          <w:p>
            <w:pPr>
              <w:spacing w:after="0"/>
              <w:rPr>
                <w:sz w:val="16"/>
                <w:szCs w:val="16"/>
                <w:color w:val="auto"/>
              </w:rPr>
            </w:pPr>
          </w:p>
        </w:tc>
        <w:tc>
          <w:tcPr>
            <w:tcW w:w="2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gridSpan w:val="2"/>
            <w:shd w:val="clear" w:color="auto" w:fill="DBE5F1"/>
          </w:tcPr>
          <w:p>
            <w:pPr>
              <w:jc w:val="center"/>
              <w:ind w:left="329"/>
              <w:spacing w:after="0"/>
              <w:rPr>
                <w:sz w:val="20"/>
                <w:szCs w:val="20"/>
                <w:color w:val="auto"/>
              </w:rPr>
            </w:pPr>
            <w:r>
              <w:rPr>
                <w:rFonts w:ascii="Times New Roman" w:cs="Times New Roman" w:eastAsia="Times New Roman" w:hAnsi="Times New Roman"/>
                <w:sz w:val="14"/>
                <w:szCs w:val="14"/>
                <w:color w:val="auto"/>
                <w:w w:val="85"/>
              </w:rPr>
              <w:t>4</w:t>
            </w:r>
          </w:p>
        </w:tc>
        <w:tc>
          <w:tcPr>
            <w:tcW w:w="100" w:type="dxa"/>
            <w:vAlign w:val="bottom"/>
            <w:tcBorders>
              <w:bottom w:val="single" w:sz="8" w:color="auto"/>
            </w:tcBorders>
            <w:shd w:val="clear" w:color="auto" w:fill="DBE5F1"/>
          </w:tcPr>
          <w:p>
            <w:pPr>
              <w:spacing w:after="0"/>
              <w:rPr>
                <w:sz w:val="16"/>
                <w:szCs w:val="16"/>
                <w:color w:val="auto"/>
              </w:rPr>
            </w:pPr>
          </w:p>
        </w:tc>
        <w:tc>
          <w:tcPr>
            <w:tcW w:w="320" w:type="dxa"/>
            <w:vAlign w:val="bottom"/>
            <w:tcBorders>
              <w:bottom w:val="single" w:sz="8" w:color="auto"/>
            </w:tcBorders>
            <w:shd w:val="clear" w:color="auto" w:fill="DBE5F1"/>
          </w:tcPr>
          <w:p>
            <w:pPr>
              <w:spacing w:after="0"/>
              <w:rPr>
                <w:sz w:val="16"/>
                <w:szCs w:val="16"/>
                <w:color w:val="auto"/>
              </w:rPr>
            </w:pPr>
          </w:p>
        </w:tc>
        <w:tc>
          <w:tcPr>
            <w:tcW w:w="12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32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200" w:type="dxa"/>
            <w:vAlign w:val="bottom"/>
            <w:tcBorders>
              <w:bottom w:val="single" w:sz="8" w:color="auto"/>
            </w:tcBorders>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860" w:type="dxa"/>
            <w:vAlign w:val="bottom"/>
            <w:tcBorders>
              <w:bottom w:val="single" w:sz="8" w:color="auto"/>
            </w:tcBorders>
            <w:gridSpan w:val="2"/>
            <w:shd w:val="clear" w:color="auto" w:fill="DBE5F1"/>
          </w:tcPr>
          <w:p>
            <w:pPr>
              <w:jc w:val="center"/>
              <w:ind w:left="109"/>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tcBorders>
              <w:bottom w:val="single" w:sz="8" w:color="auto"/>
            </w:tcBorders>
            <w:shd w:val="clear" w:color="auto" w:fill="DBE5F1"/>
          </w:tcPr>
          <w:p>
            <w:pPr>
              <w:spacing w:after="0"/>
              <w:rPr>
                <w:sz w:val="16"/>
                <w:szCs w:val="16"/>
                <w:color w:val="auto"/>
              </w:rPr>
            </w:pPr>
          </w:p>
        </w:tc>
        <w:tc>
          <w:tcPr>
            <w:tcW w:w="580" w:type="dxa"/>
            <w:vAlign w:val="bottom"/>
            <w:tcBorders>
              <w:bottom w:val="single" w:sz="8" w:color="auto"/>
            </w:tcBorders>
            <w:shd w:val="clear" w:color="auto" w:fill="DBE5F1"/>
          </w:tcPr>
          <w:p>
            <w:pPr>
              <w:spacing w:after="0"/>
              <w:rPr>
                <w:sz w:val="16"/>
                <w:szCs w:val="16"/>
                <w:color w:val="auto"/>
              </w:rPr>
            </w:pPr>
          </w:p>
        </w:tc>
        <w:tc>
          <w:tcPr>
            <w:tcW w:w="80" w:type="dxa"/>
            <w:vAlign w:val="bottom"/>
            <w:tcBorders>
              <w:left w:val="single" w:sz="8" w:color="DBE5F1"/>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 Weighted Average</w:t>
            </w: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left="329"/>
              <w:spacing w:after="0"/>
              <w:rPr>
                <w:sz w:val="20"/>
                <w:szCs w:val="20"/>
                <w:color w:val="auto"/>
              </w:rPr>
            </w:pPr>
            <w:r>
              <w:rPr>
                <w:rFonts w:ascii="Times New Roman" w:cs="Times New Roman" w:eastAsia="Times New Roman" w:hAnsi="Times New Roman"/>
                <w:sz w:val="14"/>
                <w:szCs w:val="14"/>
                <w:color w:val="auto"/>
                <w:w w:val="85"/>
              </w:rPr>
              <w:t>6</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85" w:hanging="285"/>
        <w:spacing w:after="0"/>
        <w:tabs>
          <w:tab w:leader="none" w:pos="28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discretionary capital expenditures and sustaining capital expenditures.</w:t>
      </w:r>
    </w:p>
    <w:p>
      <w:pPr>
        <w:spacing w:after="0" w:line="16"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up-front consideration from long-term tenant contracts (commonly referred to as prepaid rent) that are amortized and recognized as revenue over the associated estimated lease term in accordance with GAAP.</w:t>
      </w:r>
    </w:p>
    <w:p>
      <w:pPr>
        <w:spacing w:after="0" w:line="15" w:lineRule="exact"/>
        <w:rPr>
          <w:rFonts w:ascii="Times New Roman" w:cs="Times New Roman" w:eastAsia="Times New Roman" w:hAnsi="Times New Roman"/>
          <w:sz w:val="12"/>
          <w:szCs w:val="12"/>
          <w:color w:val="auto"/>
        </w:rPr>
      </w:pPr>
    </w:p>
    <w:p>
      <w:pPr>
        <w:ind w:left="285" w:hanging="285"/>
        <w:spacing w:after="0" w:line="233" w:lineRule="auto"/>
        <w:tabs>
          <w:tab w:leader="none" w:pos="28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definitions of, Consolidated Return on Invested Capital and Consolidated Invested Capital.</w:t>
      </w:r>
    </w:p>
    <w:p>
      <w:pPr>
        <w:ind w:left="285" w:hanging="285"/>
        <w:spacing w:after="0"/>
        <w:tabs>
          <w:tab w:leader="none" w:pos="28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further information and reconciliation of non-GAAP financial measures to net income (loss).</w:t>
      </w:r>
    </w:p>
    <w:p>
      <w:pPr>
        <w:ind w:left="285" w:hanging="285"/>
        <w:spacing w:after="0"/>
        <w:tabs>
          <w:tab w:leader="none" w:pos="28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Historical gross investment in property and equipment excludes the impact of construction in process.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Q4 2024 LQA historical gross investment in goodwill is exclusive of the approximately $5.0 billion impairment charges that were recorded in Q4 2024 related to goodwill associated with the Fiber reporting unit.</w:t>
      </w:r>
    </w:p>
    <w:p>
      <w:pPr>
        <w:spacing w:after="0" w:line="15" w:lineRule="exact"/>
        <w:rPr>
          <w:rFonts w:ascii="Times New Roman" w:cs="Times New Roman" w:eastAsia="Times New Roman" w:hAnsi="Times New Roman"/>
          <w:sz w:val="12"/>
          <w:szCs w:val="12"/>
          <w:color w:val="auto"/>
        </w:rPr>
      </w:pPr>
    </w:p>
    <w:p>
      <w:pPr>
        <w:ind w:left="285" w:hanging="285"/>
        <w:spacing w:after="0"/>
        <w:tabs>
          <w:tab w:leader="none" w:pos="285"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by site rental revenues and excludes renewals at the tenants' option.</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65"/>
          </w:cols>
          <w:pgMar w:left="315" w:top="120" w:right="319" w:bottom="1440" w:gutter="0" w:footer="0" w:header="0"/>
        </w:sectPr>
      </w:pPr>
    </w:p>
    <w:bookmarkStart w:id="45" w:name="page46"/>
    <w:bookmarkEnd w:id="45"/>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CAPITALIZATION OVERVIEW</w:t>
      </w:r>
    </w:p>
    <w:p>
      <w:pPr>
        <w:spacing w:after="0" w:line="46" w:lineRule="exact"/>
        <w:rPr>
          <w:sz w:val="20"/>
          <w:szCs w:val="20"/>
          <w:color w:val="auto"/>
        </w:rPr>
      </w:pPr>
    </w:p>
    <w:tbl>
      <w:tblPr>
        <w:tblLayout w:type="fixed"/>
        <w:tblInd w:w="25" w:type="dxa"/>
        <w:tblCellMar>
          <w:top w:w="0" w:type="dxa"/>
          <w:left w:w="0" w:type="dxa"/>
          <w:bottom w:w="0" w:type="dxa"/>
          <w:right w:w="0" w:type="dxa"/>
        </w:tblCellMar>
      </w:tblPr>
      <w:tr>
        <w:trPr>
          <w:trHeight w:val="154"/>
        </w:trPr>
        <w:tc>
          <w:tcPr>
            <w:tcW w:w="6020" w:type="dxa"/>
            <w:vAlign w:val="bottom"/>
            <w:tcBorders>
              <w:top w:val="single" w:sz="8" w:color="auto"/>
            </w:tcBorders>
            <w:shd w:val="clear" w:color="auto" w:fill="D9D9D9"/>
          </w:tcPr>
          <w:p>
            <w:pPr>
              <w:spacing w:after="0"/>
              <w:rPr>
                <w:sz w:val="13"/>
                <w:szCs w:val="13"/>
                <w:color w:val="auto"/>
              </w:rPr>
            </w:pPr>
          </w:p>
        </w:tc>
        <w:tc>
          <w:tcPr>
            <w:tcW w:w="120" w:type="dxa"/>
            <w:vAlign w:val="bottom"/>
            <w:tcBorders>
              <w:top w:val="single" w:sz="8" w:color="auto"/>
            </w:tcBorders>
            <w:shd w:val="clear" w:color="auto" w:fill="D9D9D9"/>
          </w:tcPr>
          <w:p>
            <w:pPr>
              <w:spacing w:after="0"/>
              <w:rPr>
                <w:sz w:val="13"/>
                <w:szCs w:val="13"/>
                <w:color w:val="auto"/>
              </w:rPr>
            </w:pPr>
          </w:p>
        </w:tc>
        <w:tc>
          <w:tcPr>
            <w:tcW w:w="940" w:type="dxa"/>
            <w:vAlign w:val="bottom"/>
            <w:tcBorders>
              <w:top w:val="single" w:sz="8" w:color="auto"/>
            </w:tcBorders>
            <w:shd w:val="clear" w:color="auto" w:fill="D9D9D9"/>
          </w:tcPr>
          <w:p>
            <w:pPr>
              <w:spacing w:after="0"/>
              <w:rPr>
                <w:sz w:val="13"/>
                <w:szCs w:val="13"/>
                <w:color w:val="auto"/>
              </w:rPr>
            </w:pPr>
          </w:p>
        </w:tc>
        <w:tc>
          <w:tcPr>
            <w:tcW w:w="960" w:type="dxa"/>
            <w:vAlign w:val="bottom"/>
            <w:tcBorders>
              <w:top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Fixed vs.</w:t>
            </w:r>
          </w:p>
        </w:tc>
        <w:tc>
          <w:tcPr>
            <w:tcW w:w="1200" w:type="dxa"/>
            <w:vAlign w:val="bottom"/>
            <w:tcBorders>
              <w:top w:val="single" w:sz="8" w:color="auto"/>
            </w:tcBorders>
            <w:shd w:val="clear" w:color="auto" w:fill="D9D9D9"/>
          </w:tcPr>
          <w:p>
            <w:pPr>
              <w:spacing w:after="0"/>
              <w:rPr>
                <w:sz w:val="13"/>
                <w:szCs w:val="13"/>
                <w:color w:val="auto"/>
              </w:rPr>
            </w:pPr>
          </w:p>
        </w:tc>
        <w:tc>
          <w:tcPr>
            <w:tcW w:w="1080" w:type="dxa"/>
            <w:vAlign w:val="bottom"/>
            <w:tcBorders>
              <w:top w:val="single" w:sz="8" w:color="auto"/>
            </w:tcBorders>
            <w:shd w:val="clear" w:color="auto" w:fill="D9D9D9"/>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Debt to LQA</w:t>
            </w:r>
          </w:p>
        </w:tc>
        <w:tc>
          <w:tcPr>
            <w:tcW w:w="880" w:type="dxa"/>
            <w:vAlign w:val="bottom"/>
            <w:tcBorders>
              <w:top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2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tc>
        <w:tc>
          <w:tcPr>
            <w:tcW w:w="120" w:type="dxa"/>
            <w:vAlign w:val="bottom"/>
            <w:shd w:val="clear" w:color="auto" w:fill="D9D9D9"/>
          </w:tcPr>
          <w:p>
            <w:pPr>
              <w:spacing w:after="0"/>
              <w:rPr>
                <w:sz w:val="12"/>
                <w:szCs w:val="12"/>
                <w:color w:val="auto"/>
              </w:rPr>
            </w:pPr>
          </w:p>
        </w:tc>
        <w:tc>
          <w:tcPr>
            <w:tcW w:w="940" w:type="dxa"/>
            <w:vAlign w:val="bottom"/>
            <w:vMerge w:val="restart"/>
            <w:shd w:val="clear" w:color="auto" w:fill="D9D9D9"/>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4"/>
              </w:rPr>
              <w:t>Face Value</w:t>
            </w:r>
            <w:r>
              <w:rPr>
                <w:rFonts w:ascii="Times New Roman" w:cs="Times New Roman" w:eastAsia="Times New Roman" w:hAnsi="Times New Roman"/>
                <w:sz w:val="18"/>
                <w:szCs w:val="18"/>
                <w:b w:val="1"/>
                <w:bCs w:val="1"/>
                <w:color w:val="auto"/>
                <w:w w:val="94"/>
                <w:vertAlign w:val="superscript"/>
              </w:rPr>
              <w:t>(a)</w:t>
            </w:r>
          </w:p>
        </w:tc>
        <w:tc>
          <w:tcPr>
            <w:tcW w:w="960" w:type="dxa"/>
            <w:vAlign w:val="bottom"/>
            <w:vMerge w:val="continue"/>
            <w:shd w:val="clear" w:color="auto" w:fill="D9D9D9"/>
          </w:tcPr>
          <w:p>
            <w:pPr>
              <w:spacing w:after="0"/>
              <w:rPr>
                <w:sz w:val="12"/>
                <w:szCs w:val="12"/>
                <w:color w:val="auto"/>
              </w:rPr>
            </w:pPr>
          </w:p>
        </w:tc>
        <w:tc>
          <w:tcPr>
            <w:tcW w:w="120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Interest Rate</w:t>
            </w:r>
            <w:r>
              <w:rPr>
                <w:rFonts w:ascii="Times New Roman" w:cs="Times New Roman" w:eastAsia="Times New Roman" w:hAnsi="Times New Roman"/>
                <w:sz w:val="18"/>
                <w:szCs w:val="18"/>
                <w:b w:val="1"/>
                <w:bCs w:val="1"/>
                <w:color w:val="auto"/>
                <w:w w:val="96"/>
                <w:vertAlign w:val="superscript"/>
              </w:rPr>
              <w:t>(b)</w:t>
            </w:r>
          </w:p>
        </w:tc>
        <w:tc>
          <w:tcPr>
            <w:tcW w:w="1080" w:type="dxa"/>
            <w:vAlign w:val="bottom"/>
            <w:shd w:val="clear" w:color="auto" w:fill="D9D9D9"/>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89"/>
        </w:trPr>
        <w:tc>
          <w:tcPr>
            <w:tcW w:w="6020" w:type="dxa"/>
            <w:vAlign w:val="bottom"/>
            <w:tcBorders>
              <w:bottom w:val="single" w:sz="8" w:color="auto"/>
            </w:tcBorders>
            <w:vMerge w:val="continue"/>
            <w:shd w:val="clear" w:color="auto" w:fill="D9D9D9"/>
          </w:tcPr>
          <w:p>
            <w:pPr>
              <w:spacing w:after="0"/>
              <w:rPr>
                <w:sz w:val="16"/>
                <w:szCs w:val="16"/>
                <w:color w:val="auto"/>
              </w:rPr>
            </w:pPr>
          </w:p>
        </w:tc>
        <w:tc>
          <w:tcPr>
            <w:tcW w:w="120" w:type="dxa"/>
            <w:vAlign w:val="bottom"/>
            <w:tcBorders>
              <w:bottom w:val="single" w:sz="8" w:color="auto"/>
            </w:tcBorders>
            <w:shd w:val="clear" w:color="auto" w:fill="D9D9D9"/>
          </w:tcPr>
          <w:p>
            <w:pPr>
              <w:spacing w:after="0"/>
              <w:rPr>
                <w:sz w:val="16"/>
                <w:szCs w:val="16"/>
                <w:color w:val="auto"/>
              </w:rPr>
            </w:pPr>
          </w:p>
        </w:tc>
        <w:tc>
          <w:tcPr>
            <w:tcW w:w="940" w:type="dxa"/>
            <w:vAlign w:val="bottom"/>
            <w:tcBorders>
              <w:bottom w:val="single" w:sz="8" w:color="auto"/>
            </w:tcBorders>
            <w:vMerge w:val="continue"/>
            <w:shd w:val="clear" w:color="auto" w:fill="D9D9D9"/>
          </w:tcPr>
          <w:p>
            <w:pPr>
              <w:spacing w:after="0"/>
              <w:rPr>
                <w:sz w:val="16"/>
                <w:szCs w:val="16"/>
                <w:color w:val="auto"/>
              </w:rPr>
            </w:pPr>
          </w:p>
        </w:tc>
        <w:tc>
          <w:tcPr>
            <w:tcW w:w="960" w:type="dxa"/>
            <w:vAlign w:val="bottom"/>
            <w:tcBorders>
              <w:bottom w:val="single" w:sz="8" w:color="auto"/>
            </w:tcBorders>
            <w:shd w:val="clear" w:color="auto" w:fill="D9D9D9"/>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0" w:type="dxa"/>
            <w:vAlign w:val="bottom"/>
            <w:tcBorders>
              <w:bottom w:val="single" w:sz="8" w:color="auto"/>
            </w:tcBorders>
            <w:vMerge w:val="continue"/>
            <w:shd w:val="clear" w:color="auto" w:fill="D9D9D9"/>
          </w:tcPr>
          <w:p>
            <w:pPr>
              <w:spacing w:after="0"/>
              <w:rPr>
                <w:sz w:val="16"/>
                <w:szCs w:val="16"/>
                <w:color w:val="auto"/>
              </w:rPr>
            </w:pPr>
          </w:p>
        </w:tc>
        <w:tc>
          <w:tcPr>
            <w:tcW w:w="1080" w:type="dxa"/>
            <w:vAlign w:val="bottom"/>
            <w:tcBorders>
              <w:bottom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5"/>
              </w:rPr>
              <w:t>EBITDA</w:t>
            </w:r>
            <w:r>
              <w:rPr>
                <w:rFonts w:ascii="Times New Roman" w:cs="Times New Roman" w:eastAsia="Times New Roman" w:hAnsi="Times New Roman"/>
                <w:sz w:val="18"/>
                <w:szCs w:val="18"/>
                <w:b w:val="1"/>
                <w:bCs w:val="1"/>
                <w:color w:val="auto"/>
                <w:w w:val="95"/>
                <w:vertAlign w:val="superscript"/>
              </w:rPr>
              <w:t>(c)</w:t>
            </w:r>
          </w:p>
        </w:tc>
        <w:tc>
          <w:tcPr>
            <w:tcW w:w="880" w:type="dxa"/>
            <w:vAlign w:val="bottom"/>
            <w:tcBorders>
              <w:bottom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 and restricted cash and cash equivalents</w:t>
            </w: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960" w:type="dxa"/>
            <w:vAlign w:val="bottom"/>
            <w:shd w:val="clear" w:color="auto" w:fill="DBE5F1"/>
          </w:tcPr>
          <w:p>
            <w:pPr>
              <w:spacing w:after="0"/>
              <w:rPr>
                <w:sz w:val="14"/>
                <w:szCs w:val="14"/>
                <w:color w:val="auto"/>
              </w:rPr>
            </w:pPr>
          </w:p>
        </w:tc>
        <w:tc>
          <w:tcPr>
            <w:tcW w:w="1200" w:type="dxa"/>
            <w:vAlign w:val="bottom"/>
            <w:shd w:val="clear" w:color="auto" w:fill="DBE5F1"/>
          </w:tcPr>
          <w:p>
            <w:pPr>
              <w:spacing w:after="0"/>
              <w:rPr>
                <w:sz w:val="14"/>
                <w:szCs w:val="14"/>
                <w:color w:val="auto"/>
              </w:rPr>
            </w:pPr>
          </w:p>
        </w:tc>
        <w:tc>
          <w:tcPr>
            <w:tcW w:w="1080" w:type="dxa"/>
            <w:vAlign w:val="bottom"/>
            <w:shd w:val="clear" w:color="auto" w:fill="DBE5F1"/>
          </w:tcPr>
          <w:p>
            <w:pPr>
              <w:spacing w:after="0"/>
              <w:rPr>
                <w:sz w:val="14"/>
                <w:szCs w:val="14"/>
                <w:color w:val="auto"/>
              </w:rPr>
            </w:pPr>
          </w:p>
        </w:tc>
        <w:tc>
          <w:tcPr>
            <w:tcW w:w="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Senior Secured Notes, Series 2009-1, Class A-2</w:t>
            </w:r>
            <w:r>
              <w:rPr>
                <w:rFonts w:ascii="Times New Roman" w:cs="Times New Roman" w:eastAsia="Times New Roman" w:hAnsi="Times New Roman"/>
                <w:sz w:val="17"/>
                <w:szCs w:val="17"/>
                <w:color w:val="auto"/>
                <w:vertAlign w:val="superscript"/>
              </w:rPr>
              <w:t>(d)</w:t>
            </w:r>
          </w:p>
        </w:tc>
        <w:tc>
          <w:tcPr>
            <w:tcW w:w="120" w:type="dxa"/>
            <w:vAlign w:val="bottom"/>
            <w:shd w:val="clear" w:color="auto" w:fill="DBE5F1"/>
          </w:tcPr>
          <w:p>
            <w:pPr>
              <w:spacing w:after="0"/>
              <w:rPr>
                <w:sz w:val="19"/>
                <w:szCs w:val="19"/>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9.0%</w:t>
            </w:r>
          </w:p>
        </w:tc>
        <w:tc>
          <w:tcPr>
            <w:tcW w:w="1080" w:type="dxa"/>
            <w:vAlign w:val="bottom"/>
            <w:shd w:val="clear" w:color="auto" w:fill="DBE5F1"/>
          </w:tcPr>
          <w:p>
            <w:pPr>
              <w:spacing w:after="0"/>
              <w:rPr>
                <w:sz w:val="19"/>
                <w:szCs w:val="19"/>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22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Secured Tower Revenue Notes, Series 2015-2</w:t>
            </w:r>
            <w:r>
              <w:rPr>
                <w:rFonts w:ascii="Times New Roman" w:cs="Times New Roman" w:eastAsia="Times New Roman" w:hAnsi="Times New Roman"/>
                <w:sz w:val="17"/>
                <w:szCs w:val="17"/>
                <w:color w:val="auto"/>
                <w:vertAlign w:val="superscript"/>
              </w:rPr>
              <w:t>(e)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3.7%</w:t>
            </w:r>
          </w:p>
        </w:tc>
        <w:tc>
          <w:tcPr>
            <w:tcW w:w="10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2045</w:t>
            </w:r>
          </w:p>
        </w:tc>
        <w:tc>
          <w:tcPr>
            <w:tcW w:w="0" w:type="dxa"/>
            <w:vAlign w:val="bottom"/>
          </w:tcPr>
          <w:p>
            <w:pPr>
              <w:spacing w:after="0"/>
              <w:rPr>
                <w:sz w:val="1"/>
                <w:szCs w:val="1"/>
                <w:color w:val="auto"/>
              </w:rPr>
            </w:pPr>
          </w:p>
        </w:tc>
      </w:tr>
      <w:tr>
        <w:trPr>
          <w:trHeight w:val="225"/>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Senior Secured Tower Revenue Notes, Series 2018-2</w:t>
            </w:r>
            <w:r>
              <w:rPr>
                <w:rFonts w:ascii="Times New Roman" w:cs="Times New Roman" w:eastAsia="Times New Roman" w:hAnsi="Times New Roman"/>
                <w:sz w:val="17"/>
                <w:szCs w:val="17"/>
                <w:color w:val="auto"/>
                <w:vertAlign w:val="superscript"/>
              </w:rPr>
              <w:t>(e)</w:t>
            </w:r>
          </w:p>
        </w:tc>
        <w:tc>
          <w:tcPr>
            <w:tcW w:w="120" w:type="dxa"/>
            <w:vAlign w:val="bottom"/>
            <w:shd w:val="clear" w:color="auto" w:fill="DBE5F1"/>
          </w:tcPr>
          <w:p>
            <w:pPr>
              <w:spacing w:after="0"/>
              <w:rPr>
                <w:sz w:val="19"/>
                <w:szCs w:val="19"/>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4.2%</w:t>
            </w:r>
          </w:p>
        </w:tc>
        <w:tc>
          <w:tcPr>
            <w:tcW w:w="1080" w:type="dxa"/>
            <w:vAlign w:val="bottom"/>
            <w:shd w:val="clear" w:color="auto" w:fill="DBE5F1"/>
          </w:tcPr>
          <w:p>
            <w:pPr>
              <w:spacing w:after="0"/>
              <w:rPr>
                <w:sz w:val="19"/>
                <w:szCs w:val="19"/>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2048</w:t>
            </w:r>
          </w:p>
        </w:tc>
        <w:tc>
          <w:tcPr>
            <w:tcW w:w="0" w:type="dxa"/>
            <w:vAlign w:val="bottom"/>
          </w:tcPr>
          <w:p>
            <w:pPr>
              <w:spacing w:after="0"/>
              <w:rPr>
                <w:sz w:val="1"/>
                <w:szCs w:val="1"/>
                <w:color w:val="auto"/>
              </w:rPr>
            </w:pPr>
          </w:p>
        </w:tc>
      </w:tr>
      <w:tr>
        <w:trPr>
          <w:trHeight w:val="225"/>
        </w:trPr>
        <w:tc>
          <w:tcPr>
            <w:tcW w:w="602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3"/>
                <w:szCs w:val="13"/>
                <w:color w:val="auto"/>
              </w:rPr>
              <w:t>Installment purchase liabilities and finance leases</w:t>
            </w:r>
            <w:r>
              <w:rPr>
                <w:rFonts w:ascii="Times New Roman" w:cs="Times New Roman" w:eastAsia="Times New Roman" w:hAnsi="Times New Roman"/>
                <w:sz w:val="17"/>
                <w:szCs w:val="17"/>
                <w:color w:val="auto"/>
                <w:vertAlign w:val="superscript"/>
              </w:rPr>
              <w:t>(f)</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Various</w:t>
            </w: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c>
          <w:tcPr>
            <w:tcW w:w="0" w:type="dxa"/>
            <w:vAlign w:val="bottom"/>
          </w:tcPr>
          <w:p>
            <w:pPr>
              <w:spacing w:after="0"/>
              <w:rPr>
                <w:sz w:val="1"/>
                <w:szCs w:val="1"/>
                <w:color w:val="auto"/>
              </w:rPr>
            </w:pPr>
          </w:p>
        </w:tc>
      </w:tr>
      <w:tr>
        <w:trPr>
          <w:trHeight w:val="16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b w:val="1"/>
                <w:bCs w:val="1"/>
                <w:color w:val="auto"/>
              </w:rPr>
              <w:t>Total secured debt</w:t>
            </w: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rPr>
              <w:t>1,782</w:t>
            </w:r>
          </w:p>
        </w:tc>
        <w:tc>
          <w:tcPr>
            <w:tcW w:w="960" w:type="dxa"/>
            <w:vAlign w:val="bottom"/>
            <w:shd w:val="clear" w:color="auto" w:fill="DBE5F1"/>
          </w:tcPr>
          <w:p>
            <w:pPr>
              <w:spacing w:after="0"/>
              <w:rPr>
                <w:sz w:val="14"/>
                <w:szCs w:val="14"/>
                <w:color w:val="auto"/>
              </w:rPr>
            </w:pP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b w:val="1"/>
                <w:bCs w:val="1"/>
                <w:color w:val="auto"/>
              </w:rPr>
              <w:t>4.1%</w:t>
            </w:r>
          </w:p>
        </w:tc>
        <w:tc>
          <w:tcPr>
            <w:tcW w:w="10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b w:val="1"/>
                <w:bCs w:val="1"/>
                <w:color w:val="auto"/>
              </w:rPr>
              <w:t>0.4x</w:t>
            </w:r>
          </w:p>
        </w:tc>
        <w:tc>
          <w:tcPr>
            <w:tcW w:w="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020" w:type="dxa"/>
            <w:vAlign w:val="bottom"/>
          </w:tcPr>
          <w:p>
            <w:pPr>
              <w:ind w:left="20"/>
              <w:spacing w:after="0" w:line="177" w:lineRule="exact"/>
              <w:rPr>
                <w:sz w:val="20"/>
                <w:szCs w:val="20"/>
                <w:color w:val="auto"/>
              </w:rPr>
            </w:pPr>
            <w:r>
              <w:rPr>
                <w:rFonts w:ascii="Times New Roman" w:cs="Times New Roman" w:eastAsia="Times New Roman" w:hAnsi="Times New Roman"/>
                <w:sz w:val="13"/>
                <w:szCs w:val="13"/>
                <w:color w:val="auto"/>
              </w:rPr>
              <w:t>2016 Revolver</w:t>
            </w:r>
            <w:r>
              <w:rPr>
                <w:rFonts w:ascii="Times New Roman" w:cs="Times New Roman" w:eastAsia="Times New Roman" w:hAnsi="Times New Roman"/>
                <w:sz w:val="17"/>
                <w:szCs w:val="17"/>
                <w:color w:val="auto"/>
                <w:vertAlign w:val="superscript"/>
              </w:rPr>
              <w:t>(g)</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8"/>
              </w:rPr>
              <w:t>Variable</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7"/>
        </w:trPr>
        <w:tc>
          <w:tcPr>
            <w:tcW w:w="6020" w:type="dxa"/>
            <w:vAlign w:val="bottom"/>
            <w:shd w:val="clear" w:color="auto" w:fill="DBE5F1"/>
          </w:tcPr>
          <w:p>
            <w:pPr>
              <w:ind w:left="20"/>
              <w:spacing w:after="0" w:line="177" w:lineRule="exact"/>
              <w:rPr>
                <w:sz w:val="20"/>
                <w:szCs w:val="20"/>
                <w:color w:val="auto"/>
              </w:rPr>
            </w:pPr>
            <w:r>
              <w:rPr>
                <w:rFonts w:ascii="Times New Roman" w:cs="Times New Roman" w:eastAsia="Times New Roman" w:hAnsi="Times New Roman"/>
                <w:sz w:val="13"/>
                <w:szCs w:val="13"/>
                <w:color w:val="auto"/>
              </w:rPr>
              <w:t>2016 Term Loan A</w:t>
            </w:r>
            <w:r>
              <w:rPr>
                <w:rFonts w:ascii="Times New Roman" w:cs="Times New Roman" w:eastAsia="Times New Roman" w:hAnsi="Times New Roman"/>
                <w:sz w:val="17"/>
                <w:szCs w:val="17"/>
                <w:color w:val="auto"/>
                <w:vertAlign w:val="superscript"/>
              </w:rPr>
              <w:t>(h)</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960" w:type="dxa"/>
            <w:vAlign w:val="bottom"/>
            <w:shd w:val="clear" w:color="auto" w:fill="DBE5F1"/>
          </w:tcPr>
          <w:p>
            <w:pPr>
              <w:jc w:val="center"/>
              <w:ind w:left="13"/>
              <w:spacing w:after="0"/>
              <w:rPr>
                <w:sz w:val="20"/>
                <w:szCs w:val="20"/>
                <w:color w:val="auto"/>
              </w:rPr>
            </w:pPr>
            <w:r>
              <w:rPr>
                <w:rFonts w:ascii="Times New Roman" w:cs="Times New Roman" w:eastAsia="Times New Roman" w:hAnsi="Times New Roman"/>
                <w:sz w:val="13"/>
                <w:szCs w:val="13"/>
                <w:color w:val="auto"/>
                <w:w w:val="98"/>
              </w:rPr>
              <w:t>Variable</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7"/>
        </w:trPr>
        <w:tc>
          <w:tcPr>
            <w:tcW w:w="6020" w:type="dxa"/>
            <w:vAlign w:val="bottom"/>
          </w:tcPr>
          <w:p>
            <w:pPr>
              <w:ind w:left="20"/>
              <w:spacing w:after="0" w:line="177" w:lineRule="exact"/>
              <w:rPr>
                <w:sz w:val="20"/>
                <w:szCs w:val="20"/>
                <w:color w:val="auto"/>
              </w:rPr>
            </w:pPr>
            <w:r>
              <w:rPr>
                <w:rFonts w:ascii="Times New Roman" w:cs="Times New Roman" w:eastAsia="Times New Roman" w:hAnsi="Times New Roman"/>
                <w:sz w:val="13"/>
                <w:szCs w:val="13"/>
                <w:color w:val="auto"/>
              </w:rPr>
              <w:t>Commercial Paper Notes</w:t>
            </w:r>
            <w:r>
              <w:rPr>
                <w:rFonts w:ascii="Times New Roman" w:cs="Times New Roman" w:eastAsia="Times New Roman" w:hAnsi="Times New Roman"/>
                <w:sz w:val="17"/>
                <w:szCs w:val="17"/>
                <w:color w:val="auto"/>
                <w:vertAlign w:val="superscript"/>
              </w:rPr>
              <w:t>(i)</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9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8"/>
              </w:rPr>
              <w:t>Variable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c>
          <w:tcPr>
            <w:tcW w:w="0" w:type="dxa"/>
            <w:vAlign w:val="bottom"/>
          </w:tcPr>
          <w:p>
            <w:pPr>
              <w:spacing w:after="0"/>
              <w:rPr>
                <w:sz w:val="1"/>
                <w:szCs w:val="1"/>
                <w:color w:val="auto"/>
              </w:rPr>
            </w:pPr>
          </w:p>
        </w:tc>
      </w:tr>
      <w:tr>
        <w:trPr>
          <w:trHeight w:val="177"/>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1.350%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4.450%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4.5%</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3.700%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3.7%</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2026</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2.900%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4.000%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3.650%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3.7%</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2027</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5.000%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2028</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3.800%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3.8%</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2028</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2028</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4.300%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4.3%</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5.600%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4.900%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4.9%</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3.300%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3.3%</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2030</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2.250%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2.100%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2.1%</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2.500%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5.100%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5.1%</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5.800%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5.8%</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5.200%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5.2%</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2.900%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2041</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4.750%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4.8%</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2047</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5.200%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2049</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4.000% Senior Notes</w:t>
            </w:r>
          </w:p>
        </w:tc>
        <w:tc>
          <w:tcPr>
            <w:tcW w:w="120" w:type="dxa"/>
            <w:vAlign w:val="bottom"/>
            <w:shd w:val="clear" w:color="auto" w:fill="DBE5F1"/>
          </w:tcPr>
          <w:p>
            <w:pPr>
              <w:spacing w:after="0"/>
              <w:rPr>
                <w:sz w:val="15"/>
                <w:szCs w:val="15"/>
                <w:color w:val="auto"/>
              </w:rPr>
            </w:pP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9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4.0%</w:t>
            </w:r>
          </w:p>
        </w:tc>
        <w:tc>
          <w:tcPr>
            <w:tcW w:w="1080" w:type="dxa"/>
            <w:vAlign w:val="bottom"/>
            <w:shd w:val="clear" w:color="auto" w:fill="DBE5F1"/>
          </w:tcPr>
          <w:p>
            <w:pPr>
              <w:spacing w:after="0"/>
              <w:rPr>
                <w:sz w:val="15"/>
                <w:szCs w:val="15"/>
                <w:color w:val="auto"/>
              </w:rPr>
            </w:pPr>
          </w:p>
        </w:tc>
        <w:tc>
          <w:tcPr>
            <w:tcW w:w="8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2049</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4.150% Senior Notes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w:t>
            </w:r>
          </w:p>
        </w:tc>
        <w:tc>
          <w:tcPr>
            <w:tcW w:w="10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79"/>
        </w:trPr>
        <w:tc>
          <w:tcPr>
            <w:tcW w:w="60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3"/>
                <w:szCs w:val="13"/>
                <w:color w:val="auto"/>
              </w:rPr>
              <w:t>3.250% Senior Notes</w:t>
            </w:r>
          </w:p>
        </w:tc>
        <w:tc>
          <w:tcPr>
            <w:tcW w:w="120" w:type="dxa"/>
            <w:vAlign w:val="bottom"/>
            <w:tcBorders>
              <w:bottom w:val="single" w:sz="8" w:color="auto"/>
            </w:tcBorders>
            <w:shd w:val="clear" w:color="auto" w:fill="DBE5F1"/>
          </w:tcPr>
          <w:p>
            <w:pPr>
              <w:spacing w:after="0"/>
              <w:rPr>
                <w:sz w:val="15"/>
                <w:szCs w:val="15"/>
                <w:color w:val="auto"/>
              </w:rPr>
            </w:pPr>
          </w:p>
        </w:tc>
        <w:tc>
          <w:tcPr>
            <w:tcW w:w="9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96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20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3.3%</w:t>
            </w:r>
          </w:p>
        </w:tc>
        <w:tc>
          <w:tcPr>
            <w:tcW w:w="1080" w:type="dxa"/>
            <w:vAlign w:val="bottom"/>
            <w:tcBorders>
              <w:bottom w:val="single" w:sz="8" w:color="auto"/>
            </w:tcBorders>
            <w:shd w:val="clear" w:color="auto" w:fill="DBE5F1"/>
          </w:tcPr>
          <w:p>
            <w:pPr>
              <w:spacing w:after="0"/>
              <w:rPr>
                <w:sz w:val="15"/>
                <w:szCs w:val="15"/>
                <w:color w:val="auto"/>
              </w:rPr>
            </w:pPr>
          </w:p>
        </w:tc>
        <w:tc>
          <w:tcPr>
            <w:tcW w:w="88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3"/>
                <w:szCs w:val="13"/>
                <w:color w:val="auto"/>
              </w:rPr>
              <w:t>2051</w:t>
            </w:r>
          </w:p>
        </w:tc>
        <w:tc>
          <w:tcPr>
            <w:tcW w:w="0" w:type="dxa"/>
            <w:vAlign w:val="bottom"/>
          </w:tcPr>
          <w:p>
            <w:pPr>
              <w:spacing w:after="0"/>
              <w:rPr>
                <w:sz w:val="1"/>
                <w:szCs w:val="1"/>
                <w:color w:val="auto"/>
              </w:rPr>
            </w:pPr>
          </w:p>
        </w:tc>
      </w:tr>
      <w:tr>
        <w:trPr>
          <w:trHeight w:val="169"/>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unsecured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22,458</w:t>
            </w:r>
          </w:p>
        </w:tc>
        <w:tc>
          <w:tcPr>
            <w:tcW w:w="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5.4x</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020" w:type="dxa"/>
            <w:vAlign w:val="bottom"/>
            <w:shd w:val="clear" w:color="auto" w:fill="DBE5F1"/>
          </w:tcPr>
          <w:p>
            <w:pPr>
              <w:ind w:left="20"/>
              <w:spacing w:after="0" w:line="177" w:lineRule="exact"/>
              <w:rPr>
                <w:sz w:val="20"/>
                <w:szCs w:val="20"/>
                <w:color w:val="auto"/>
              </w:rPr>
            </w:pPr>
            <w:r>
              <w:rPr>
                <w:rFonts w:ascii="Times New Roman" w:cs="Times New Roman" w:eastAsia="Times New Roman" w:hAnsi="Times New Roman"/>
                <w:sz w:val="13"/>
                <w:szCs w:val="13"/>
                <w:b w:val="1"/>
                <w:bCs w:val="1"/>
                <w:color w:val="auto"/>
              </w:rPr>
              <w:t>Net Debt</w:t>
            </w:r>
            <w:r>
              <w:rPr>
                <w:rFonts w:ascii="Times New Roman" w:cs="Times New Roman" w:eastAsia="Times New Roman" w:hAnsi="Times New Roman"/>
                <w:sz w:val="17"/>
                <w:szCs w:val="17"/>
                <w:b w:val="1"/>
                <w:bCs w:val="1"/>
                <w:color w:val="auto"/>
                <w:vertAlign w:val="superscript"/>
              </w:rPr>
              <w:t>(j)</w:t>
            </w: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rPr>
              <w:t>23,945</w:t>
            </w:r>
          </w:p>
        </w:tc>
        <w:tc>
          <w:tcPr>
            <w:tcW w:w="960" w:type="dxa"/>
            <w:vAlign w:val="bottom"/>
            <w:shd w:val="clear" w:color="auto" w:fill="DBE5F1"/>
          </w:tcPr>
          <w:p>
            <w:pPr>
              <w:spacing w:after="0"/>
              <w:rPr>
                <w:sz w:val="15"/>
                <w:szCs w:val="15"/>
                <w:color w:val="auto"/>
              </w:rPr>
            </w:pPr>
          </w:p>
        </w:tc>
        <w:tc>
          <w:tcPr>
            <w:tcW w:w="12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b w:val="1"/>
                <w:bCs w:val="1"/>
                <w:color w:val="auto"/>
              </w:rPr>
              <w:t>3.9%</w:t>
            </w:r>
          </w:p>
        </w:tc>
        <w:tc>
          <w:tcPr>
            <w:tcW w:w="10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3"/>
                <w:szCs w:val="13"/>
                <w:b w:val="1"/>
                <w:bCs w:val="1"/>
                <w:color w:val="auto"/>
              </w:rPr>
              <w:t>5.7x</w:t>
            </w:r>
          </w:p>
        </w:tc>
        <w:tc>
          <w:tcPr>
            <w:tcW w:w="88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02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Market Capitalization</w:t>
            </w:r>
            <w:r>
              <w:rPr>
                <w:rFonts w:ascii="Times New Roman" w:cs="Times New Roman" w:eastAsia="Times New Roman" w:hAnsi="Times New Roman"/>
                <w:sz w:val="17"/>
                <w:szCs w:val="17"/>
                <w:b w:val="1"/>
                <w:bCs w:val="1"/>
                <w:color w:val="auto"/>
                <w:vertAlign w:val="superscript"/>
              </w:rPr>
              <w:t>(k)</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39,446</w:t>
            </w:r>
          </w:p>
        </w:tc>
        <w:tc>
          <w:tcPr>
            <w:tcW w:w="960" w:type="dxa"/>
            <w:vAlign w:val="bottom"/>
            <w:tcBorders>
              <w:bottom w:val="single" w:sz="8" w:color="DBE5F1"/>
            </w:tcBorders>
          </w:tcPr>
          <w:p>
            <w:pPr>
              <w:spacing w:after="0"/>
              <w:rPr>
                <w:sz w:val="19"/>
                <w:szCs w:val="19"/>
                <w:color w:val="auto"/>
              </w:rPr>
            </w:pPr>
          </w:p>
        </w:tc>
        <w:tc>
          <w:tcPr>
            <w:tcW w:w="1200" w:type="dxa"/>
            <w:vAlign w:val="bottom"/>
            <w:tcBorders>
              <w:bottom w:val="single" w:sz="8" w:color="DBE5F1"/>
            </w:tcBorders>
          </w:tcPr>
          <w:p>
            <w:pPr>
              <w:spacing w:after="0"/>
              <w:rPr>
                <w:sz w:val="19"/>
                <w:szCs w:val="19"/>
                <w:color w:val="auto"/>
              </w:rPr>
            </w:pPr>
          </w:p>
        </w:tc>
        <w:tc>
          <w:tcPr>
            <w:tcW w:w="1080" w:type="dxa"/>
            <w:vAlign w:val="bottom"/>
            <w:tcBorders>
              <w:bottom w:val="single" w:sz="8" w:color="DBE5F1"/>
            </w:tcBorders>
          </w:tcPr>
          <w:p>
            <w:pPr>
              <w:spacing w:after="0"/>
              <w:rPr>
                <w:sz w:val="19"/>
                <w:szCs w:val="19"/>
                <w:color w:val="auto"/>
              </w:rPr>
            </w:pPr>
          </w:p>
        </w:tc>
        <w:tc>
          <w:tcPr>
            <w:tcW w:w="880" w:type="dxa"/>
            <w:vAlign w:val="bottom"/>
            <w:tcBorders>
              <w:bottom w:val="single" w:sz="8" w:color="DBE5F1"/>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20" w:type="dxa"/>
            <w:vAlign w:val="bottom"/>
            <w:tcBorders>
              <w:bottom w:val="single" w:sz="8" w:color="DBE5F1"/>
            </w:tcBorders>
            <w:shd w:val="clear" w:color="auto" w:fill="DBE5F1"/>
          </w:tcPr>
          <w:p>
            <w:pPr>
              <w:ind w:left="20"/>
              <w:spacing w:after="0" w:line="181" w:lineRule="exact"/>
              <w:rPr>
                <w:sz w:val="20"/>
                <w:szCs w:val="20"/>
                <w:color w:val="auto"/>
              </w:rPr>
            </w:pPr>
            <w:r>
              <w:rPr>
                <w:rFonts w:ascii="Times New Roman" w:cs="Times New Roman" w:eastAsia="Times New Roman" w:hAnsi="Times New Roman"/>
                <w:sz w:val="13"/>
                <w:szCs w:val="13"/>
                <w:b w:val="1"/>
                <w:bCs w:val="1"/>
                <w:color w:val="auto"/>
              </w:rPr>
              <w:t>Firm Value</w:t>
            </w:r>
            <w:r>
              <w:rPr>
                <w:rFonts w:ascii="Times New Roman" w:cs="Times New Roman" w:eastAsia="Times New Roman" w:hAnsi="Times New Roman"/>
                <w:sz w:val="17"/>
                <w:szCs w:val="17"/>
                <w:b w:val="1"/>
                <w:bCs w:val="1"/>
                <w:color w:val="auto"/>
                <w:vertAlign w:val="superscript"/>
              </w:rPr>
              <w:t>(l)</w:t>
            </w:r>
          </w:p>
        </w:tc>
        <w:tc>
          <w:tcPr>
            <w:tcW w:w="1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3"/>
                <w:szCs w:val="13"/>
                <w:b w:val="1"/>
                <w:bCs w:val="1"/>
                <w:color w:val="auto"/>
              </w:rPr>
              <w:t>63,391</w:t>
            </w:r>
          </w:p>
        </w:tc>
        <w:tc>
          <w:tcPr>
            <w:tcW w:w="960" w:type="dxa"/>
            <w:vAlign w:val="bottom"/>
            <w:tcBorders>
              <w:bottom w:val="single" w:sz="8" w:color="DBE5F1"/>
            </w:tcBorders>
            <w:shd w:val="clear" w:color="auto" w:fill="DBE5F1"/>
          </w:tcPr>
          <w:p>
            <w:pPr>
              <w:spacing w:after="0"/>
              <w:rPr>
                <w:sz w:val="17"/>
                <w:szCs w:val="17"/>
                <w:color w:val="auto"/>
              </w:rPr>
            </w:pPr>
          </w:p>
        </w:tc>
        <w:tc>
          <w:tcPr>
            <w:tcW w:w="1200" w:type="dxa"/>
            <w:vAlign w:val="bottom"/>
            <w:tcBorders>
              <w:bottom w:val="single" w:sz="8" w:color="DBE5F1"/>
            </w:tcBorders>
            <w:shd w:val="clear" w:color="auto" w:fill="DBE5F1"/>
          </w:tcPr>
          <w:p>
            <w:pPr>
              <w:spacing w:after="0"/>
              <w:rPr>
                <w:sz w:val="17"/>
                <w:szCs w:val="17"/>
                <w:color w:val="auto"/>
              </w:rPr>
            </w:pPr>
          </w:p>
        </w:tc>
        <w:tc>
          <w:tcPr>
            <w:tcW w:w="108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940" w:type="dxa"/>
            <w:vAlign w:val="bottom"/>
            <w:tcBorders>
              <w:top w:val="single" w:sz="8" w:color="DBE5F1"/>
              <w:bottom w:val="single" w:sz="8" w:color="auto"/>
            </w:tcBorders>
          </w:tcPr>
          <w:p>
            <w:pPr>
              <w:spacing w:after="0" w:line="20" w:lineRule="exact"/>
              <w:rPr>
                <w:sz w:val="1"/>
                <w:szCs w:val="1"/>
                <w:color w:val="auto"/>
              </w:rPr>
            </w:pPr>
          </w:p>
        </w:tc>
        <w:tc>
          <w:tcPr>
            <w:tcW w:w="960" w:type="dxa"/>
            <w:vAlign w:val="bottom"/>
            <w:tcBorders>
              <w:top w:val="single" w:sz="8" w:color="DBE5F1"/>
            </w:tcBorders>
          </w:tcPr>
          <w:p>
            <w:pPr>
              <w:spacing w:after="0" w:line="20" w:lineRule="exact"/>
              <w:rPr>
                <w:sz w:val="1"/>
                <w:szCs w:val="1"/>
                <w:color w:val="auto"/>
              </w:rPr>
            </w:pPr>
          </w:p>
        </w:tc>
        <w:tc>
          <w:tcPr>
            <w:tcW w:w="1200" w:type="dxa"/>
            <w:vAlign w:val="bottom"/>
            <w:tcBorders>
              <w:top w:val="single" w:sz="8" w:color="DBE5F1"/>
            </w:tcBorders>
          </w:tcPr>
          <w:p>
            <w:pPr>
              <w:spacing w:after="0" w:line="20" w:lineRule="exact"/>
              <w:rPr>
                <w:sz w:val="1"/>
                <w:szCs w:val="1"/>
                <w:color w:val="auto"/>
              </w:rPr>
            </w:pPr>
          </w:p>
        </w:tc>
        <w:tc>
          <w:tcPr>
            <w:tcW w:w="1080" w:type="dxa"/>
            <w:vAlign w:val="bottom"/>
            <w:tcBorders>
              <w:top w:val="single" w:sz="8" w:color="DBE5F1"/>
            </w:tcBorders>
          </w:tcPr>
          <w:p>
            <w:pPr>
              <w:spacing w:after="0" w:line="20" w:lineRule="exact"/>
              <w:rPr>
                <w:sz w:val="1"/>
                <w:szCs w:val="1"/>
                <w:color w:val="auto"/>
              </w:rPr>
            </w:pPr>
          </w:p>
        </w:tc>
        <w:tc>
          <w:tcPr>
            <w:tcW w:w="880" w:type="dxa"/>
            <w:vAlign w:val="bottom"/>
            <w:tcBorders>
              <w:top w:val="single" w:sz="8" w:color="DBE5F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85" w:hanging="285"/>
        <w:spacing w:after="0"/>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required principal amortizations.</w:t>
      </w:r>
    </w:p>
    <w:p>
      <w:pPr>
        <w:spacing w:after="0" w:line="6"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stated interest rate, as applicable, exclusive of finance leases and other obligations.</w:t>
      </w:r>
    </w:p>
    <w:p>
      <w:pPr>
        <w:ind w:left="285" w:right="20" w:hanging="285"/>
        <w:spacing w:after="0" w:line="246" w:lineRule="auto"/>
        <w:tabs>
          <w:tab w:leader="none" w:pos="28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Represents the applicable amount of debt divided by Last Quarter Annualized Adjusted EBITDA. 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 and calculation of, Net Debt to Last Quarter Annualized Adjusted EBITDA.</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Senior Secured Notes, 2009-1, Class A-2 principal amortizes over a period ending in August 2029.</w:t>
      </w:r>
    </w:p>
    <w:p>
      <w:pPr>
        <w:spacing w:after="0" w:line="4" w:lineRule="exact"/>
        <w:rPr>
          <w:rFonts w:ascii="Times New Roman" w:cs="Times New Roman" w:eastAsia="Times New Roman" w:hAnsi="Times New Roman"/>
          <w:sz w:val="13"/>
          <w:szCs w:val="13"/>
          <w:color w:val="auto"/>
        </w:rPr>
      </w:pPr>
    </w:p>
    <w:p>
      <w:pPr>
        <w:jc w:val="both"/>
        <w:ind w:left="285" w:hanging="285"/>
        <w:spacing w:after="0" w:line="260" w:lineRule="auto"/>
        <w:tabs>
          <w:tab w:leader="none" w:pos="283"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respective series of Tower Revenue Notes are not paid in full on or prior to an applicable anticipated repayment date, then the Excess Cash Flow (as defined in the indenture) of the issuers of such notes will be used to repay principal of the applicable series, and additional interest (of an additional approximately 5% per annum) will accrue on the respective series. The Senior Secured Tower Revenue Notes, 2015-2 and 2018-2 have anticipated repayment dates in 2025 and 2028, respectively. Notes are prepayable at par if voluntarily repaid within eighteen months of maturity; earlier prepayment may require additional consideration.</w:t>
      </w:r>
    </w:p>
    <w:p>
      <w:pPr>
        <w:ind w:left="285" w:hanging="285"/>
        <w:spacing w:after="0"/>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reflects $35 million in finance lease obligations (primarily related to vehicles).</w:t>
      </w:r>
    </w:p>
    <w:p>
      <w:pPr>
        <w:spacing w:after="0" w:line="4" w:lineRule="exact"/>
        <w:rPr>
          <w:rFonts w:ascii="Times New Roman" w:cs="Times New Roman" w:eastAsia="Times New Roman" w:hAnsi="Times New Roman"/>
          <w:sz w:val="13"/>
          <w:szCs w:val="13"/>
          <w:color w:val="auto"/>
        </w:rPr>
      </w:pPr>
    </w:p>
    <w:p>
      <w:pPr>
        <w:ind w:left="285" w:right="300" w:hanging="285"/>
        <w:spacing w:after="0"/>
        <w:tabs>
          <w:tab w:leader="none" w:pos="279"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the undrawn availability under the $7.0 billion 2016 Revolver was $7.0 billion. The Company pays a commitment fee on the undrawn available amount, which as of December 31, 2024 ranged from 0.080% to 0.300%, based on the Company's senior unsecured debt rating, per annum.</w:t>
      </w:r>
    </w:p>
    <w:p>
      <w:pPr>
        <w:ind w:left="285" w:hanging="285"/>
        <w:spacing w:after="0"/>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2016 Term Loan A principal amortizes over a period ending in July 2027.</w:t>
      </w:r>
    </w:p>
    <w:p>
      <w:pPr>
        <w:ind w:left="285" w:right="20" w:hanging="285"/>
        <w:spacing w:after="0" w:line="246" w:lineRule="auto"/>
        <w:tabs>
          <w:tab w:leader="none" w:pos="27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2024, the Company had $0.7 billion available for issuance under the $2.0 billion unsecured commercial paper program ("CP Program"). The maturities of the Commercial Paper Notes ("CP Notes"), when outstanding, may vary but may not exceed 397 days from the date of issue.</w:t>
      </w:r>
    </w:p>
    <w:p>
      <w:pPr>
        <w:spacing w:after="0" w:line="1"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 and calculation of, Net Debt.</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capitalization calculated based on $90.76 closing price and 435 million shares outstanding as of December 31, 2024.</w:t>
      </w:r>
    </w:p>
    <w:p>
      <w:pPr>
        <w:ind w:left="265" w:hanging="265"/>
        <w:spacing w:after="0"/>
        <w:tabs>
          <w:tab w:leader="none" w:pos="26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Represents the sum of Net Debt and market capitalization. 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 and calculation of, Net Debt.</w:t>
      </w:r>
    </w:p>
    <w:p>
      <w:pPr>
        <w:spacing w:after="0" w:line="37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65"/>
          </w:cols>
          <w:pgMar w:left="315" w:top="120" w:right="319" w:bottom="1440" w:gutter="0" w:footer="0" w:header="0"/>
        </w:sectPr>
      </w:pPr>
    </w:p>
    <w:bookmarkStart w:id="46" w:name="page47"/>
    <w:bookmarkEnd w:id="46"/>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55" w:type="dxa"/>
        <w:tblCellMar>
          <w:top w:w="0" w:type="dxa"/>
          <w:left w:w="0" w:type="dxa"/>
          <w:bottom w:w="0" w:type="dxa"/>
          <w:right w:w="0" w:type="dxa"/>
        </w:tblCellMar>
      </w:tblPr>
      <w:tr>
        <w:trPr>
          <w:trHeight w:val="130"/>
        </w:trPr>
        <w:tc>
          <w:tcPr>
            <w:tcW w:w="1600" w:type="dxa"/>
            <w:vAlign w:val="bottom"/>
            <w:tcBorders>
              <w:top w:val="single" w:sz="8" w:color="auto"/>
              <w:left w:val="single" w:sz="8" w:color="auto"/>
              <w:right w:val="single" w:sz="8" w:color="auto"/>
            </w:tcBorders>
          </w:tcPr>
          <w:p>
            <w:pPr>
              <w:ind w:left="46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4"/>
              </w:rPr>
              <w:t>CONSOLIDATED</w:t>
            </w:r>
          </w:p>
        </w:tc>
        <w:tc>
          <w:tcPr>
            <w:tcW w:w="160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58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00" w:type="dxa"/>
            <w:vAlign w:val="bottom"/>
            <w:tcBorders>
              <w:left w:val="single" w:sz="8" w:color="auto"/>
              <w:right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DEBT MATURITY OVERVIEW</w:t>
      </w:r>
      <w:r>
        <w:rPr>
          <w:rFonts w:ascii="Times New Roman" w:cs="Times New Roman" w:eastAsia="Times New Roman" w:hAnsi="Times New Roman"/>
          <w:sz w:val="18"/>
          <w:szCs w:val="18"/>
          <w:b w:val="1"/>
          <w:bCs w:val="1"/>
          <w:color w:val="auto"/>
          <w:vertAlign w:val="superscript"/>
        </w:rPr>
        <w:t>(a)(b)</w:t>
      </w:r>
    </w:p>
    <w:p>
      <w:pPr>
        <w:spacing w:after="0" w:line="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i w:val="1"/>
          <w:iCs w:val="1"/>
          <w:color w:val="auto"/>
        </w:rPr>
        <w:t>(as of December 31, 2024;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04075" cy="4258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5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5" w:right="20" w:hanging="285"/>
        <w:spacing w:after="0" w:line="255" w:lineRule="auto"/>
        <w:tabs>
          <w:tab w:leader="none" w:pos="283"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applicable, maturities reflect the respective anticipated repayment dates of the Tower Revenue Notes; excludes finance leases and other obligations; amounts presented at face value, net of required principal amortizations and repurchases held at the Company.</w:t>
      </w:r>
    </w:p>
    <w:p>
      <w:pPr>
        <w:ind w:left="285" w:hanging="285"/>
        <w:spacing w:after="0" w:line="253" w:lineRule="auto"/>
        <w:tabs>
          <w:tab w:leader="none" w:pos="27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$1.3 billion outstanding in CP Notes have been excluded from this overview. Amounts available under the CP Program may be borrowed, repaid and re-borrowed from time to time. We intend to maintain available commitments under our 2016 Revolver in an amount at least equal to the amount of CP Notes outstanding at any point in time.</w:t>
      </w:r>
    </w:p>
    <w:p>
      <w:pPr>
        <w:spacing w:after="0" w:line="3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65"/>
          </w:cols>
          <w:pgMar w:left="315" w:top="120" w:right="319" w:bottom="1440" w:gutter="0" w:footer="0" w:header="0"/>
        </w:sectPr>
      </w:pPr>
    </w:p>
    <w:bookmarkStart w:id="47" w:name="page48"/>
    <w:bookmarkEnd w:id="47"/>
    <w:p>
      <w:pPr>
        <w:jc w:val="center"/>
        <w:ind w:right="15"/>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2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jc w:val="center"/>
              <w:ind w:right="1649"/>
              <w:spacing w:after="0"/>
              <w:rPr>
                <w:sz w:val="20"/>
                <w:szCs w:val="20"/>
                <w:color w:val="auto"/>
              </w:rPr>
            </w:pPr>
            <w:r>
              <w:rPr>
                <w:rFonts w:ascii="Times New Roman" w:cs="Times New Roman" w:eastAsia="Times New Roman" w:hAnsi="Times New Roman"/>
                <w:sz w:val="14"/>
                <w:szCs w:val="14"/>
                <w:b w:val="1"/>
                <w:bCs w:val="1"/>
                <w:color w:val="auto"/>
                <w:w w:val="99"/>
              </w:rPr>
              <w:t>LIQUIDITY OVERVIEW</w:t>
            </w:r>
            <w:r>
              <w:rPr>
                <w:rFonts w:ascii="Times New Roman" w:cs="Times New Roman" w:eastAsia="Times New Roman" w:hAnsi="Times New Roman"/>
                <w:sz w:val="18"/>
                <w:szCs w:val="18"/>
                <w:b w:val="1"/>
                <w:bCs w:val="1"/>
                <w:color w:val="auto"/>
                <w:w w:val="99"/>
                <w:vertAlign w:val="superscript"/>
              </w:rPr>
              <w:t>(a)</w:t>
            </w:r>
          </w:p>
        </w:tc>
        <w:tc>
          <w:tcPr>
            <w:tcW w:w="1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380" w:type="dxa"/>
            <w:vAlign w:val="bottom"/>
            <w:tcBorders>
              <w:bottom w:val="single" w:sz="8" w:color="auto"/>
            </w:tcBorders>
            <w:shd w:val="clear" w:color="auto" w:fill="DBDBDB"/>
          </w:tcPr>
          <w:p>
            <w:pPr>
              <w:spacing w:after="0"/>
              <w:rPr>
                <w:sz w:val="15"/>
                <w:szCs w:val="15"/>
                <w:color w:val="auto"/>
              </w:rPr>
            </w:pPr>
          </w:p>
        </w:tc>
        <w:tc>
          <w:tcPr>
            <w:tcW w:w="3760" w:type="dxa"/>
            <w:vAlign w:val="bottom"/>
            <w:tcBorders>
              <w:bottom w:val="single" w:sz="8" w:color="auto"/>
            </w:tcBorders>
            <w:shd w:val="clear" w:color="auto" w:fill="DBDBDB"/>
          </w:tcPr>
          <w:p>
            <w:pPr>
              <w:spacing w:after="0"/>
              <w:rPr>
                <w:sz w:val="15"/>
                <w:szCs w:val="15"/>
                <w:color w:val="auto"/>
              </w:rPr>
            </w:pPr>
          </w:p>
        </w:tc>
        <w:tc>
          <w:tcPr>
            <w:tcW w:w="2880" w:type="dxa"/>
            <w:vAlign w:val="bottom"/>
            <w:tcBorders>
              <w:bottom w:val="single" w:sz="8" w:color="auto"/>
            </w:tcBorders>
            <w:gridSpan w:val="2"/>
            <w:shd w:val="clear" w:color="auto" w:fill="DBDBDB"/>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w:t>
            </w:r>
            <w:r>
              <w:rPr>
                <w:rFonts w:ascii="Times New Roman" w:cs="Times New Roman" w:eastAsia="Times New Roman" w:hAnsi="Times New Roman"/>
                <w:sz w:val="18"/>
                <w:szCs w:val="18"/>
                <w:color w:val="auto"/>
                <w:vertAlign w:val="superscript"/>
              </w:rPr>
              <w:t>(b)</w:t>
            </w:r>
          </w:p>
        </w:tc>
        <w:tc>
          <w:tcPr>
            <w:tcW w:w="3760" w:type="dxa"/>
            <w:vAlign w:val="bottom"/>
          </w:tcPr>
          <w:p>
            <w:pPr>
              <w:spacing w:after="0"/>
              <w:rPr>
                <w:sz w:val="19"/>
                <w:szCs w:val="19"/>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237"/>
        </w:trPr>
        <w:tc>
          <w:tcPr>
            <w:tcW w:w="2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w w:val="99"/>
              </w:rPr>
              <w:t>Undrawn 2016 Revolver availability</w:t>
            </w:r>
            <w:r>
              <w:rPr>
                <w:rFonts w:ascii="Times New Roman" w:cs="Times New Roman" w:eastAsia="Times New Roman" w:hAnsi="Times New Roman"/>
                <w:sz w:val="18"/>
                <w:szCs w:val="18"/>
                <w:color w:val="auto"/>
                <w:w w:val="99"/>
                <w:vertAlign w:val="superscript"/>
              </w:rPr>
              <w:t>(c)</w:t>
            </w:r>
          </w:p>
        </w:tc>
        <w:tc>
          <w:tcPr>
            <w:tcW w:w="2380" w:type="dxa"/>
            <w:vAlign w:val="bottom"/>
            <w:shd w:val="clear" w:color="auto" w:fill="DBE5F1"/>
          </w:tcPr>
          <w:p>
            <w:pPr>
              <w:spacing w:after="0"/>
              <w:rPr>
                <w:sz w:val="20"/>
                <w:szCs w:val="20"/>
                <w:color w:val="auto"/>
              </w:rPr>
            </w:pPr>
          </w:p>
        </w:tc>
        <w:tc>
          <w:tcPr>
            <w:tcW w:w="3760" w:type="dxa"/>
            <w:vAlign w:val="bottom"/>
            <w:shd w:val="clear" w:color="auto" w:fill="DBE5F1"/>
          </w:tcPr>
          <w:p>
            <w:pPr>
              <w:spacing w:after="0"/>
              <w:rPr>
                <w:sz w:val="20"/>
                <w:szCs w:val="20"/>
                <w:color w:val="auto"/>
              </w:rPr>
            </w:pPr>
          </w:p>
        </w:tc>
        <w:tc>
          <w:tcPr>
            <w:tcW w:w="1580" w:type="dxa"/>
            <w:vAlign w:val="bottom"/>
            <w:shd w:val="clear" w:color="auto" w:fill="DBE5F1"/>
          </w:tcPr>
          <w:p>
            <w:pPr>
              <w:spacing w:after="0"/>
              <w:rPr>
                <w:sz w:val="20"/>
                <w:szCs w:val="20"/>
                <w:color w:val="auto"/>
              </w:rPr>
            </w:pPr>
          </w:p>
        </w:tc>
        <w:tc>
          <w:tcPr>
            <w:tcW w:w="1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6,961</w:t>
            </w:r>
          </w:p>
        </w:tc>
        <w:tc>
          <w:tcPr>
            <w:tcW w:w="0" w:type="dxa"/>
            <w:vAlign w:val="bottom"/>
          </w:tcPr>
          <w:p>
            <w:pPr>
              <w:spacing w:after="0"/>
              <w:rPr>
                <w:sz w:val="1"/>
                <w:szCs w:val="1"/>
                <w:color w:val="auto"/>
              </w:rPr>
            </w:pPr>
          </w:p>
        </w:tc>
      </w:tr>
      <w:tr>
        <w:trPr>
          <w:trHeight w:val="189"/>
        </w:trPr>
        <w:tc>
          <w:tcPr>
            <w:tcW w:w="4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4"/>
                <w:szCs w:val="14"/>
                <w:color w:val="auto"/>
              </w:rPr>
              <w:t>Total debt and other obligations (current and non-current)</w:t>
            </w:r>
            <w:r>
              <w:rPr>
                <w:rFonts w:ascii="Times New Roman" w:cs="Times New Roman" w:eastAsia="Times New Roman" w:hAnsi="Times New Roman"/>
                <w:sz w:val="18"/>
                <w:szCs w:val="18"/>
                <w:color w:val="auto"/>
                <w:vertAlign w:val="superscript"/>
              </w:rPr>
              <w:t>(d)</w:t>
            </w:r>
          </w:p>
        </w:tc>
        <w:tc>
          <w:tcPr>
            <w:tcW w:w="37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24,081</w:t>
            </w:r>
          </w:p>
        </w:tc>
        <w:tc>
          <w:tcPr>
            <w:tcW w:w="0" w:type="dxa"/>
            <w:vAlign w:val="bottom"/>
          </w:tcPr>
          <w:p>
            <w:pPr>
              <w:spacing w:after="0"/>
              <w:rPr>
                <w:sz w:val="1"/>
                <w:szCs w:val="1"/>
                <w:color w:val="auto"/>
              </w:rPr>
            </w:pPr>
          </w:p>
        </w:tc>
      </w:tr>
      <w:tr>
        <w:trPr>
          <w:trHeight w:val="189"/>
        </w:trPr>
        <w:tc>
          <w:tcPr>
            <w:tcW w:w="2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380" w:type="dxa"/>
            <w:vAlign w:val="bottom"/>
            <w:shd w:val="clear" w:color="auto" w:fill="DBE5F1"/>
          </w:tcPr>
          <w:p>
            <w:pPr>
              <w:spacing w:after="0"/>
              <w:rPr>
                <w:sz w:val="16"/>
                <w:szCs w:val="16"/>
                <w:color w:val="auto"/>
              </w:rPr>
            </w:pPr>
          </w:p>
        </w:tc>
        <w:tc>
          <w:tcPr>
            <w:tcW w:w="3760" w:type="dxa"/>
            <w:vAlign w:val="bottom"/>
            <w:shd w:val="clear" w:color="auto" w:fill="DBE5F1"/>
          </w:tcPr>
          <w:p>
            <w:pPr>
              <w:spacing w:after="0"/>
              <w:rPr>
                <w:sz w:val="16"/>
                <w:szCs w:val="16"/>
                <w:color w:val="auto"/>
              </w:rPr>
            </w:pPr>
          </w:p>
        </w:tc>
        <w:tc>
          <w:tcPr>
            <w:tcW w:w="1580" w:type="dxa"/>
            <w:vAlign w:val="bottom"/>
            <w:shd w:val="clear" w:color="auto" w:fill="DBE5F1"/>
          </w:tcPr>
          <w:p>
            <w:pPr>
              <w:spacing w:after="0"/>
              <w:rPr>
                <w:sz w:val="16"/>
                <w:szCs w:val="16"/>
                <w:color w:val="auto"/>
              </w:rPr>
            </w:pPr>
          </w:p>
        </w:tc>
        <w:tc>
          <w:tcPr>
            <w:tcW w:w="1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453"/>
        </w:trPr>
        <w:tc>
          <w:tcPr>
            <w:tcW w:w="222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SUMMARY OF MAINTENANCE AND FINANCIAL COVENANTS</w:t>
            </w:r>
          </w:p>
        </w:tc>
        <w:tc>
          <w:tcPr>
            <w:tcW w:w="1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20" w:type="dxa"/>
            <w:vAlign w:val="bottom"/>
            <w:vMerge w:val="restart"/>
            <w:shd w:val="clear" w:color="auto" w:fill="D9D9D9"/>
          </w:tcPr>
          <w:p>
            <w:pPr>
              <w:ind w:left="960"/>
              <w:spacing w:after="0"/>
              <w:rPr>
                <w:sz w:val="20"/>
                <w:szCs w:val="20"/>
                <w:color w:val="auto"/>
              </w:rPr>
            </w:pPr>
            <w:r>
              <w:rPr>
                <w:rFonts w:ascii="Times New Roman" w:cs="Times New Roman" w:eastAsia="Times New Roman" w:hAnsi="Times New Roman"/>
                <w:sz w:val="14"/>
                <w:szCs w:val="14"/>
                <w:b w:val="1"/>
                <w:bCs w:val="1"/>
                <w:color w:val="auto"/>
              </w:rPr>
              <w:t>Debt</w:t>
            </w:r>
          </w:p>
        </w:tc>
        <w:tc>
          <w:tcPr>
            <w:tcW w:w="2380" w:type="dxa"/>
            <w:vAlign w:val="bottom"/>
            <w:vMerge w:val="restart"/>
            <w:shd w:val="clear" w:color="auto" w:fill="D9D9D9"/>
          </w:tcPr>
          <w:p>
            <w:pPr>
              <w:ind w:left="1140"/>
              <w:spacing w:after="0"/>
              <w:rPr>
                <w:sz w:val="20"/>
                <w:szCs w:val="20"/>
                <w:color w:val="auto"/>
              </w:rPr>
            </w:pPr>
            <w:r>
              <w:rPr>
                <w:rFonts w:ascii="Times New Roman" w:cs="Times New Roman" w:eastAsia="Times New Roman" w:hAnsi="Times New Roman"/>
                <w:sz w:val="14"/>
                <w:szCs w:val="14"/>
                <w:b w:val="1"/>
                <w:bCs w:val="1"/>
                <w:color w:val="auto"/>
              </w:rPr>
              <w:t>Borrower / Issuer</w:t>
            </w:r>
          </w:p>
        </w:tc>
        <w:tc>
          <w:tcPr>
            <w:tcW w:w="3760" w:type="dxa"/>
            <w:vAlign w:val="bottom"/>
            <w:vMerge w:val="restart"/>
            <w:shd w:val="clear" w:color="auto" w:fill="D9D9D9"/>
          </w:tcPr>
          <w:p>
            <w:pPr>
              <w:ind w:left="2240"/>
              <w:spacing w:after="0"/>
              <w:rPr>
                <w:sz w:val="20"/>
                <w:szCs w:val="20"/>
                <w:color w:val="auto"/>
              </w:rPr>
            </w:pPr>
            <w:r>
              <w:rPr>
                <w:rFonts w:ascii="Times New Roman" w:cs="Times New Roman" w:eastAsia="Times New Roman" w:hAnsi="Times New Roman"/>
                <w:sz w:val="14"/>
                <w:szCs w:val="14"/>
                <w:b w:val="1"/>
                <w:bCs w:val="1"/>
                <w:color w:val="auto"/>
              </w:rPr>
              <w:t>Covenant</w:t>
            </w:r>
            <w:r>
              <w:rPr>
                <w:rFonts w:ascii="Times New Roman" w:cs="Times New Roman" w:eastAsia="Times New Roman" w:hAnsi="Times New Roman"/>
                <w:sz w:val="18"/>
                <w:szCs w:val="18"/>
                <w:b w:val="1"/>
                <w:bCs w:val="1"/>
                <w:color w:val="auto"/>
                <w:vertAlign w:val="superscript"/>
              </w:rPr>
              <w:t>(e)</w:t>
            </w:r>
          </w:p>
        </w:tc>
        <w:tc>
          <w:tcPr>
            <w:tcW w:w="1580" w:type="dxa"/>
            <w:vAlign w:val="bottom"/>
            <w:shd w:val="clear" w:color="auto" w:fill="D9D9D9"/>
          </w:tcPr>
          <w:p>
            <w:pPr>
              <w:jc w:val="center"/>
              <w:ind w:left="369"/>
              <w:spacing w:after="0" w:line="142" w:lineRule="exact"/>
              <w:rPr>
                <w:sz w:val="20"/>
                <w:szCs w:val="20"/>
                <w:color w:val="auto"/>
              </w:rPr>
            </w:pPr>
            <w:r>
              <w:rPr>
                <w:rFonts w:ascii="Times New Roman" w:cs="Times New Roman" w:eastAsia="Times New Roman" w:hAnsi="Times New Roman"/>
                <w:sz w:val="14"/>
                <w:szCs w:val="14"/>
                <w:b w:val="1"/>
                <w:bCs w:val="1"/>
                <w:color w:val="auto"/>
              </w:rPr>
              <w:t>Covenant Level</w:t>
            </w:r>
          </w:p>
        </w:tc>
        <w:tc>
          <w:tcPr>
            <w:tcW w:w="1300" w:type="dxa"/>
            <w:vAlign w:val="bottom"/>
            <w:shd w:val="clear" w:color="auto" w:fill="D9D9D9"/>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shd w:val="clear" w:color="auto" w:fill="D9D9D9"/>
          </w:tcPr>
          <w:p>
            <w:pPr>
              <w:spacing w:after="0"/>
              <w:rPr>
                <w:sz w:val="16"/>
                <w:szCs w:val="16"/>
                <w:color w:val="auto"/>
              </w:rPr>
            </w:pPr>
          </w:p>
        </w:tc>
        <w:tc>
          <w:tcPr>
            <w:tcW w:w="2380" w:type="dxa"/>
            <w:vAlign w:val="bottom"/>
            <w:tcBorders>
              <w:bottom w:val="single" w:sz="8" w:color="auto"/>
            </w:tcBorders>
            <w:vMerge w:val="continue"/>
            <w:shd w:val="clear" w:color="auto" w:fill="D9D9D9"/>
          </w:tcPr>
          <w:p>
            <w:pPr>
              <w:spacing w:after="0"/>
              <w:rPr>
                <w:sz w:val="16"/>
                <w:szCs w:val="16"/>
                <w:color w:val="auto"/>
              </w:rPr>
            </w:pPr>
          </w:p>
        </w:tc>
        <w:tc>
          <w:tcPr>
            <w:tcW w:w="3760" w:type="dxa"/>
            <w:vAlign w:val="bottom"/>
            <w:tcBorders>
              <w:bottom w:val="single" w:sz="8" w:color="auto"/>
            </w:tcBorders>
            <w:vMerge w:val="continue"/>
            <w:shd w:val="clear" w:color="auto" w:fill="D9D9D9"/>
          </w:tcPr>
          <w:p>
            <w:pPr>
              <w:spacing w:after="0"/>
              <w:rPr>
                <w:sz w:val="16"/>
                <w:szCs w:val="16"/>
                <w:color w:val="auto"/>
              </w:rPr>
            </w:pPr>
          </w:p>
        </w:tc>
        <w:tc>
          <w:tcPr>
            <w:tcW w:w="1580" w:type="dxa"/>
            <w:vAlign w:val="bottom"/>
            <w:tcBorders>
              <w:bottom w:val="single" w:sz="8" w:color="auto"/>
            </w:tcBorders>
            <w:shd w:val="clear" w:color="auto" w:fill="D9D9D9"/>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w w:val="99"/>
              </w:rPr>
              <w:t>Requirement</w:t>
            </w:r>
          </w:p>
        </w:tc>
        <w:tc>
          <w:tcPr>
            <w:tcW w:w="130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2220" w:type="dxa"/>
            <w:vAlign w:val="bottom"/>
          </w:tcPr>
          <w:p>
            <w:pPr>
              <w:ind w:left="20"/>
              <w:spacing w:after="0" w:line="205" w:lineRule="exact"/>
              <w:rPr>
                <w:sz w:val="20"/>
                <w:szCs w:val="20"/>
                <w:color w:val="auto"/>
              </w:rPr>
            </w:pPr>
            <w:r>
              <w:rPr>
                <w:rFonts w:ascii="Times New Roman" w:cs="Times New Roman" w:eastAsia="Times New Roman" w:hAnsi="Times New Roman"/>
                <w:sz w:val="14"/>
                <w:szCs w:val="14"/>
                <w:b w:val="1"/>
                <w:bCs w:val="1"/>
                <w:color w:val="auto"/>
              </w:rPr>
              <w:t>Maintenance Financial Covenants</w:t>
            </w:r>
            <w:r>
              <w:rPr>
                <w:rFonts w:ascii="Times New Roman" w:cs="Times New Roman" w:eastAsia="Times New Roman" w:hAnsi="Times New Roman"/>
                <w:sz w:val="18"/>
                <w:szCs w:val="18"/>
                <w:b w:val="1"/>
                <w:bCs w:val="1"/>
                <w:color w:val="auto"/>
                <w:vertAlign w:val="superscript"/>
              </w:rPr>
              <w:t>(f)</w:t>
            </w:r>
          </w:p>
        </w:tc>
        <w:tc>
          <w:tcPr>
            <w:tcW w:w="23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2016 Credit Facility</w:t>
            </w:r>
          </w:p>
        </w:tc>
        <w:tc>
          <w:tcPr>
            <w:tcW w:w="23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CCI</w:t>
            </w:r>
          </w:p>
        </w:tc>
        <w:tc>
          <w:tcPr>
            <w:tcW w:w="3760" w:type="dxa"/>
            <w:vAlign w:val="bottom"/>
            <w:shd w:val="clear" w:color="auto" w:fill="DBE5F1"/>
          </w:tcPr>
          <w:p>
            <w:pPr>
              <w:ind w:left="1000"/>
              <w:spacing w:after="0"/>
              <w:rPr>
                <w:sz w:val="20"/>
                <w:szCs w:val="20"/>
                <w:color w:val="auto"/>
              </w:rPr>
            </w:pPr>
            <w:r>
              <w:rPr>
                <w:rFonts w:ascii="Times New Roman" w:cs="Times New Roman" w:eastAsia="Times New Roman" w:hAnsi="Times New Roman"/>
                <w:sz w:val="14"/>
                <w:szCs w:val="14"/>
                <w:color w:val="auto"/>
              </w:rPr>
              <w:t>Total Net Leverage Ratio</w:t>
            </w:r>
          </w:p>
        </w:tc>
        <w:tc>
          <w:tcPr>
            <w:tcW w:w="1580" w:type="dxa"/>
            <w:vAlign w:val="bottom"/>
            <w:shd w:val="clear" w:color="auto" w:fill="DBE5F1"/>
          </w:tcPr>
          <w:p>
            <w:pPr>
              <w:ind w:left="660"/>
              <w:spacing w:after="0"/>
              <w:rPr>
                <w:sz w:val="20"/>
                <w:szCs w:val="20"/>
                <w:color w:val="auto"/>
              </w:rPr>
            </w:pPr>
            <w:r>
              <w:rPr>
                <w:rFonts w:ascii="Times New Roman" w:cs="Times New Roman" w:eastAsia="Times New Roman" w:hAnsi="Times New Roman"/>
                <w:sz w:val="14"/>
                <w:szCs w:val="14"/>
                <w:color w:val="auto"/>
              </w:rPr>
              <w:t>≤ 6.50x</w:t>
            </w:r>
          </w:p>
        </w:tc>
        <w:tc>
          <w:tcPr>
            <w:tcW w:w="130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5.7x</w:t>
            </w:r>
          </w:p>
        </w:tc>
        <w:tc>
          <w:tcPr>
            <w:tcW w:w="0" w:type="dxa"/>
            <w:vAlign w:val="bottom"/>
          </w:tcPr>
          <w:p>
            <w:pPr>
              <w:spacing w:after="0"/>
              <w:rPr>
                <w:sz w:val="1"/>
                <w:szCs w:val="1"/>
                <w:color w:val="auto"/>
              </w:rPr>
            </w:pPr>
          </w:p>
        </w:tc>
      </w:tr>
      <w:tr>
        <w:trPr>
          <w:trHeight w:val="187"/>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2016 Credit Facility</w:t>
            </w: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CCI</w:t>
            </w:r>
          </w:p>
        </w:tc>
        <w:tc>
          <w:tcPr>
            <w:tcW w:w="37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Senior Secured Leverage Ratio</w:t>
            </w:r>
          </w:p>
        </w:tc>
        <w:tc>
          <w:tcPr>
            <w:tcW w:w="15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 3.50x</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0.4x</w:t>
            </w:r>
          </w:p>
        </w:tc>
        <w:tc>
          <w:tcPr>
            <w:tcW w:w="0" w:type="dxa"/>
            <w:vAlign w:val="bottom"/>
          </w:tcPr>
          <w:p>
            <w:pPr>
              <w:spacing w:after="0"/>
              <w:rPr>
                <w:sz w:val="1"/>
                <w:szCs w:val="1"/>
                <w:color w:val="auto"/>
              </w:rPr>
            </w:pPr>
          </w:p>
        </w:tc>
      </w:tr>
      <w:tr>
        <w:trPr>
          <w:trHeight w:val="192"/>
        </w:trPr>
        <w:tc>
          <w:tcPr>
            <w:tcW w:w="2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2016 Credit Facility</w:t>
            </w:r>
          </w:p>
        </w:tc>
        <w:tc>
          <w:tcPr>
            <w:tcW w:w="23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CCI</w:t>
            </w:r>
          </w:p>
        </w:tc>
        <w:tc>
          <w:tcPr>
            <w:tcW w:w="3760" w:type="dxa"/>
            <w:vAlign w:val="bottom"/>
            <w:shd w:val="clear" w:color="auto" w:fill="DBE5F1"/>
          </w:tcPr>
          <w:p>
            <w:pPr>
              <w:ind w:left="1000"/>
              <w:spacing w:after="0" w:line="192" w:lineRule="exact"/>
              <w:rPr>
                <w:sz w:val="20"/>
                <w:szCs w:val="20"/>
                <w:color w:val="auto"/>
              </w:rPr>
            </w:pPr>
            <w:r>
              <w:rPr>
                <w:rFonts w:ascii="Times New Roman" w:cs="Times New Roman" w:eastAsia="Times New Roman" w:hAnsi="Times New Roman"/>
                <w:sz w:val="14"/>
                <w:szCs w:val="14"/>
                <w:color w:val="auto"/>
              </w:rPr>
              <w:t>Consolidated Interest Coverage Ratio</w:t>
            </w:r>
            <w:r>
              <w:rPr>
                <w:rFonts w:ascii="Times New Roman" w:cs="Times New Roman" w:eastAsia="Times New Roman" w:hAnsi="Times New Roman"/>
                <w:sz w:val="18"/>
                <w:szCs w:val="18"/>
                <w:color w:val="auto"/>
                <w:vertAlign w:val="superscript"/>
              </w:rPr>
              <w:t>(g)</w:t>
            </w:r>
          </w:p>
        </w:tc>
        <w:tc>
          <w:tcPr>
            <w:tcW w:w="1580" w:type="dxa"/>
            <w:vAlign w:val="bottom"/>
            <w:shd w:val="clear" w:color="auto" w:fill="DBE5F1"/>
          </w:tcPr>
          <w:p>
            <w:pPr>
              <w:ind w:left="740"/>
              <w:spacing w:after="0"/>
              <w:rPr>
                <w:sz w:val="20"/>
                <w:szCs w:val="20"/>
                <w:color w:val="auto"/>
              </w:rPr>
            </w:pPr>
            <w:r>
              <w:rPr>
                <w:rFonts w:ascii="Times New Roman" w:cs="Times New Roman" w:eastAsia="Times New Roman" w:hAnsi="Times New Roman"/>
                <w:sz w:val="14"/>
                <w:szCs w:val="14"/>
                <w:color w:val="auto"/>
              </w:rPr>
              <w:t>N/A</w:t>
            </w:r>
          </w:p>
        </w:tc>
        <w:tc>
          <w:tcPr>
            <w:tcW w:w="1300" w:type="dxa"/>
            <w:vAlign w:val="bottom"/>
            <w:shd w:val="clear" w:color="auto" w:fill="DBE5F1"/>
          </w:tcPr>
          <w:p>
            <w:pPr>
              <w:jc w:val="right"/>
              <w:ind w:right="429"/>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b w:val="1"/>
          <w:bCs w:val="1"/>
          <w:i w:val="1"/>
          <w:iCs w:val="1"/>
          <w:color w:val="auto"/>
        </w:rPr>
        <w:t>Financial covenants requiring excess cash flows to be deposited in a cash trap reserve account and not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-98425</wp:posOffset>
            </wp:positionV>
            <wp:extent cx="713422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20015"/>
                    </a:xfrm>
                    <a:prstGeom prst="rect">
                      <a:avLst/>
                    </a:prstGeom>
                    <a:noFill/>
                  </pic:spPr>
                </pic:pic>
              </a:graphicData>
            </a:graphic>
          </wp:anchor>
        </w:drawing>
      </w:r>
    </w:p>
    <w:p>
      <w:pPr>
        <w:sectPr>
          <w:pgSz w:w="11900" w:h="16838" w:orient="portrait"/>
          <w:cols w:equalWidth="0" w:num="1">
            <w:col w:w="11265"/>
          </w:cols>
          <w:pgMar w:left="315" w:top="120" w:right="319" w:bottom="1440" w:gutter="0" w:footer="0" w:header="0"/>
        </w:sectPr>
      </w:pPr>
    </w:p>
    <w:p>
      <w:pPr>
        <w:spacing w:after="0" w:line="32" w:lineRule="exact"/>
        <w:rPr>
          <w:sz w:val="20"/>
          <w:szCs w:val="20"/>
          <w:color w:val="auto"/>
        </w:rPr>
      </w:pPr>
    </w:p>
    <w:tbl>
      <w:tblPr>
        <w:tblLayout w:type="fixed"/>
        <w:tblInd w:w="25" w:type="dxa"/>
        <w:tblCellMar>
          <w:top w:w="0" w:type="dxa"/>
          <w:left w:w="0" w:type="dxa"/>
          <w:bottom w:w="0" w:type="dxa"/>
          <w:right w:w="0" w:type="dxa"/>
        </w:tblCellMar>
      </w:tblPr>
      <w:tr>
        <w:trPr>
          <w:trHeight w:val="184"/>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2015</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Revenue Notes</w:t>
            </w:r>
          </w:p>
        </w:tc>
        <w:tc>
          <w:tcPr>
            <w:tcW w:w="3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Crown Castle Towers LLC and its Subsidiaries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2018</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Revenue Notes</w:t>
            </w:r>
          </w:p>
        </w:tc>
        <w:tc>
          <w:tcPr>
            <w:tcW w:w="3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Crown Castle Towers LLC and its Subsidiaries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2009</w:t>
            </w: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Securitized Notes</w:t>
            </w:r>
          </w:p>
        </w:tc>
        <w:tc>
          <w:tcPr>
            <w:tcW w:w="3440" w:type="dxa"/>
            <w:vAlign w:val="bottom"/>
          </w:tcPr>
          <w:p>
            <w:pPr>
              <w:ind w:left="320"/>
              <w:spacing w:after="0" w:line="147" w:lineRule="exact"/>
              <w:rPr>
                <w:sz w:val="20"/>
                <w:szCs w:val="20"/>
                <w:color w:val="auto"/>
              </w:rPr>
            </w:pPr>
            <w:r>
              <w:rPr>
                <w:rFonts w:ascii="Times New Roman" w:cs="Times New Roman" w:eastAsia="Times New Roman" w:hAnsi="Times New Roman"/>
                <w:sz w:val="14"/>
                <w:szCs w:val="14"/>
                <w:color w:val="auto"/>
              </w:rPr>
              <w:t>Pinnacle Towers Acquisition Holdings LLC and its</w:t>
            </w:r>
          </w:p>
        </w:tc>
        <w:tc>
          <w:tcPr>
            <w:tcW w:w="1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Subsidiaries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7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covenants restricting ability of relevant issuer to issue additional notes under the applicable indenture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2015</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Revenue Notes</w:t>
            </w:r>
          </w:p>
        </w:tc>
        <w:tc>
          <w:tcPr>
            <w:tcW w:w="3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Crown Castle Towers LLC and its Subsidiaries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2018</w:t>
            </w:r>
          </w:p>
        </w:tc>
        <w:tc>
          <w:tcPr>
            <w:tcW w:w="1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Tower Revenue Notes</w:t>
            </w:r>
          </w:p>
        </w:tc>
        <w:tc>
          <w:tcPr>
            <w:tcW w:w="34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Crown Castle Towers LLC and its Subsidiaries</w:t>
            </w:r>
          </w:p>
        </w:tc>
        <w:tc>
          <w:tcPr>
            <w:tcW w:w="1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47"/>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2009</w:t>
            </w: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Securitized Notes</w:t>
            </w:r>
          </w:p>
        </w:tc>
        <w:tc>
          <w:tcPr>
            <w:tcW w:w="3440" w:type="dxa"/>
            <w:vAlign w:val="bottom"/>
          </w:tcPr>
          <w:p>
            <w:pPr>
              <w:ind w:left="320"/>
              <w:spacing w:after="0" w:line="147" w:lineRule="exact"/>
              <w:rPr>
                <w:sz w:val="20"/>
                <w:szCs w:val="20"/>
                <w:color w:val="auto"/>
              </w:rPr>
            </w:pPr>
            <w:r>
              <w:rPr>
                <w:rFonts w:ascii="Times New Roman" w:cs="Times New Roman" w:eastAsia="Times New Roman" w:hAnsi="Times New Roman"/>
                <w:sz w:val="14"/>
                <w:szCs w:val="14"/>
                <w:color w:val="auto"/>
              </w:rPr>
              <w:t>Pinnacle Towers Acquisition Holdings LLC and its</w:t>
            </w:r>
          </w:p>
        </w:tc>
        <w:tc>
          <w:tcPr>
            <w:tcW w:w="1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Debt Service Coverage Ratio</w:t>
            </w:r>
          </w:p>
        </w:tc>
        <w:tc>
          <w:tcPr>
            <w:tcW w:w="0" w:type="dxa"/>
            <w:vAlign w:val="bottom"/>
          </w:tcPr>
          <w:p>
            <w:pPr>
              <w:spacing w:after="0"/>
              <w:rPr>
                <w:sz w:val="1"/>
                <w:szCs w:val="1"/>
                <w:color w:val="auto"/>
              </w:rPr>
            </w:pPr>
          </w:p>
        </w:tc>
      </w:tr>
      <w:tr>
        <w:trPr>
          <w:trHeight w:val="184"/>
        </w:trPr>
        <w:tc>
          <w:tcPr>
            <w:tcW w:w="3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3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Subsidiaries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-1047750</wp:posOffset>
            </wp:positionV>
            <wp:extent cx="713422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200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-717550</wp:posOffset>
            </wp:positionV>
            <wp:extent cx="713422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5049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-447040</wp:posOffset>
            </wp:positionV>
            <wp:extent cx="7134225"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200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-206375</wp:posOffset>
            </wp:positionV>
            <wp:extent cx="7134225" cy="2101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0"/>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&gt; 1.75x</w:t>
            </w:r>
          </w:p>
        </w:tc>
        <w:tc>
          <w:tcPr>
            <w:tcW w:w="5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17.8x</w:t>
            </w:r>
          </w:p>
        </w:tc>
        <w:tc>
          <w:tcPr>
            <w:tcW w:w="0" w:type="dxa"/>
            <w:vAlign w:val="bottom"/>
          </w:tcPr>
          <w:p>
            <w:pPr>
              <w:spacing w:after="0"/>
              <w:rPr>
                <w:sz w:val="1"/>
                <w:szCs w:val="1"/>
                <w:color w:val="auto"/>
              </w:rPr>
            </w:pPr>
          </w:p>
        </w:tc>
      </w:tr>
      <w:tr>
        <w:trPr>
          <w:trHeight w:val="87"/>
        </w:trPr>
        <w:tc>
          <w:tcPr>
            <w:tcW w:w="56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9"/>
                <w:szCs w:val="9"/>
                <w:color w:val="auto"/>
              </w:rPr>
              <w:t>(h)</w:t>
            </w: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&gt; 1.75x</w:t>
            </w:r>
          </w:p>
        </w:tc>
        <w:tc>
          <w:tcPr>
            <w:tcW w:w="5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17.8x</w:t>
            </w:r>
          </w:p>
        </w:tc>
        <w:tc>
          <w:tcPr>
            <w:tcW w:w="0" w:type="dxa"/>
            <w:vAlign w:val="bottom"/>
          </w:tcPr>
          <w:p>
            <w:pPr>
              <w:spacing w:after="0"/>
              <w:rPr>
                <w:sz w:val="1"/>
                <w:szCs w:val="1"/>
                <w:color w:val="auto"/>
              </w:rPr>
            </w:pPr>
          </w:p>
        </w:tc>
      </w:tr>
      <w:tr>
        <w:trPr>
          <w:trHeight w:val="97"/>
        </w:trPr>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&gt; 1.30x</w:t>
            </w:r>
          </w:p>
        </w:tc>
        <w:tc>
          <w:tcPr>
            <w:tcW w:w="5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(h)</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33.1x</w:t>
            </w:r>
          </w:p>
        </w:tc>
        <w:tc>
          <w:tcPr>
            <w:tcW w:w="0" w:type="dxa"/>
            <w:vAlign w:val="bottom"/>
          </w:tcPr>
          <w:p>
            <w:pPr>
              <w:spacing w:after="0"/>
              <w:rPr>
                <w:sz w:val="1"/>
                <w:szCs w:val="1"/>
                <w:color w:val="auto"/>
              </w:rPr>
            </w:pPr>
          </w:p>
        </w:tc>
      </w:tr>
      <w:tr>
        <w:trPr>
          <w:trHeight w:val="97"/>
        </w:trPr>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6"/>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2.00x</w:t>
            </w:r>
          </w:p>
        </w:tc>
        <w:tc>
          <w:tcPr>
            <w:tcW w:w="5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17.8x</w:t>
            </w: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9"/>
                <w:szCs w:val="9"/>
                <w:color w:val="auto"/>
              </w:rPr>
              <w:t>(i)</w:t>
            </w: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2.00x</w:t>
            </w:r>
          </w:p>
        </w:tc>
        <w:tc>
          <w:tcPr>
            <w:tcW w:w="56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17.8x</w:t>
            </w: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2.34x</w:t>
            </w:r>
          </w:p>
        </w:tc>
        <w:tc>
          <w:tcPr>
            <w:tcW w:w="560" w:type="dxa"/>
            <w:vAlign w:val="bottom"/>
          </w:tcPr>
          <w:p>
            <w:pPr>
              <w:ind w:left="120"/>
              <w:spacing w:after="0"/>
              <w:rPr>
                <w:sz w:val="20"/>
                <w:szCs w:val="20"/>
                <w:color w:val="auto"/>
              </w:rPr>
            </w:pPr>
            <w:r>
              <w:rPr>
                <w:rFonts w:ascii="Times New Roman" w:cs="Times New Roman" w:eastAsia="Times New Roman" w:hAnsi="Times New Roman"/>
                <w:sz w:val="9"/>
                <w:szCs w:val="9"/>
                <w:color w:val="auto"/>
              </w:rPr>
              <w:t>(i)</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95"/>
              </w:rPr>
              <w:t>33.1x</w:t>
            </w: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8305" w:space="720"/>
            <w:col w:w="2240"/>
          </w:cols>
          <w:pgMar w:left="315" w:top="120" w:right="319" w:bottom="1440" w:gutter="0" w:footer="0" w:header="0"/>
          <w:type w:val="continuous"/>
        </w:sectPr>
      </w:pPr>
    </w:p>
    <w:p>
      <w:pPr>
        <w:ind w:left="285" w:hanging="285"/>
        <w:spacing w:after="0"/>
        <w:tabs>
          <w:tab w:leader="none" w:pos="28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we have the following sources of liquidity:</w:t>
      </w:r>
    </w:p>
    <w:p>
      <w:pPr>
        <w:spacing w:after="0" w:line="14" w:lineRule="exact"/>
        <w:rPr>
          <w:rFonts w:ascii="Times New Roman" w:cs="Times New Roman" w:eastAsia="Times New Roman" w:hAnsi="Times New Roman"/>
          <w:sz w:val="13"/>
          <w:szCs w:val="13"/>
          <w:color w:val="auto"/>
        </w:rPr>
      </w:pPr>
    </w:p>
    <w:p>
      <w:pPr>
        <w:ind w:left="845" w:right="20" w:hanging="344"/>
        <w:spacing w:after="0" w:line="246" w:lineRule="auto"/>
        <w:tabs>
          <w:tab w:leader="none" w:pos="845"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March 2024, we established an at-the-market stock offering program ("ATM Program") through which we may, from time to time, issue and sell shares of our common stock having an aggregate gross sales price of up to $750 million to or through sales agents. No shares of common stock have been sold under the ATM Program.</w:t>
      </w:r>
    </w:p>
    <w:p>
      <w:pPr>
        <w:spacing w:after="0" w:line="1" w:lineRule="exact"/>
        <w:rPr>
          <w:rFonts w:ascii="Times New Roman" w:cs="Times New Roman" w:eastAsia="Times New Roman" w:hAnsi="Times New Roman"/>
          <w:sz w:val="13"/>
          <w:szCs w:val="13"/>
          <w:color w:val="auto"/>
        </w:rPr>
      </w:pPr>
    </w:p>
    <w:p>
      <w:pPr>
        <w:jc w:val="both"/>
        <w:ind w:left="845" w:right="20" w:hanging="379"/>
        <w:spacing w:after="0"/>
        <w:tabs>
          <w:tab w:leader="none" w:pos="845"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April 2019, we established a CP Program through which we may issue short term, unsecured CP Notes. Amounts available under the CP Program may be issued, repaid and re-issued from time to time, with the aggregate principal amount of CP Notes outstanding under the CP Program at any time not to exceed $2.0 billion. As of December 31, 2024, there were $1.3 billion CP Notes outstanding under our CP Program. We intend to maintain available commitments under our 2016 Revolver in an amount at least equal to the amount of CP Notes outstanding at any point in time.</w:t>
      </w:r>
    </w:p>
    <w:p>
      <w:pPr>
        <w:ind w:left="285" w:hanging="285"/>
        <w:spacing w:after="0"/>
        <w:tabs>
          <w:tab w:leader="none" w:pos="28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Inclusive of $5 million included within "Other assets, net" on our condensed consolidated balance sheet.</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at any point in time is subject to reaffirmation of the representations and warranties in, and there being no default under, the credit agreement governing our 2016 Revolver.</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reconciliation to, Net Debt.</w:t>
      </w:r>
    </w:p>
    <w:p>
      <w:pPr>
        <w:ind w:left="285" w:right="20" w:hanging="285"/>
        <w:spacing w:after="0" w:line="244" w:lineRule="auto"/>
        <w:tabs>
          <w:tab w:leader="none" w:pos="283"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defined in the respective debt agreement. In the indentures for the 2015 Tower Revenue Notes, 2018 Tower Revenue Notes and the 2009 Securitized Notes, the defined term for Debt Service Coverage Ratio is "DSCR." Total Net Leverage Ratio, Total Senior Secured Leverage Ratio and all DSCR ratios are calculated using the trailing twelve months.</w:t>
      </w:r>
    </w:p>
    <w:p>
      <w:pPr>
        <w:ind w:left="285" w:hanging="285"/>
        <w:spacing w:after="0"/>
        <w:tabs>
          <w:tab w:leader="none" w:pos="28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comply with the financial maintenance covenants would, absent a waiver, result in an event of default under the credit agreement governing our 2016 Credit Facility.</w:t>
      </w:r>
    </w:p>
    <w:p>
      <w:pPr>
        <w:spacing w:after="0" w:line="4" w:lineRule="exact"/>
        <w:rPr>
          <w:rFonts w:ascii="Times New Roman" w:cs="Times New Roman" w:eastAsia="Times New Roman" w:hAnsi="Times New Roman"/>
          <w:sz w:val="13"/>
          <w:szCs w:val="13"/>
          <w:color w:val="auto"/>
        </w:rPr>
      </w:pPr>
    </w:p>
    <w:p>
      <w:pPr>
        <w:ind w:left="285" w:right="20" w:hanging="285"/>
        <w:spacing w:after="0"/>
        <w:tabs>
          <w:tab w:leader="none" w:pos="27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jc w:val="both"/>
        <w:ind w:left="285" w:right="20" w:hanging="285"/>
        <w:spacing w:after="0" w:line="245" w:lineRule="auto"/>
        <w:tabs>
          <w:tab w:leader="none" w:pos="27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2015 Tower Revenue Notes, 2018 Tower Revenue Notes and 2009 Securitized Notes also include the potential for amortization events, which could result in applying current and future cash flow to the prepayment of debt with applicable prepayment consideration. An amortization event occurs when the Debt Service Coverage Ratio falls below 1.45x, 1.45x or 1.15x, in each case as described under the indentures for the 2015 Tower Revenue Notes, 2018 Tower Revenue Notes or 2009 Securitized Notes, respectively.</w:t>
      </w:r>
    </w:p>
    <w:p>
      <w:pPr>
        <w:ind w:left="265" w:hanging="265"/>
        <w:spacing w:after="0"/>
        <w:tabs>
          <w:tab w:leader="none" w:pos="265"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Rating Agency Confirmation (as defined in the respective debt agreement) is required.</w:t>
      </w:r>
    </w:p>
    <w:p>
      <w:pPr>
        <w:spacing w:after="0" w:line="37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65"/>
          </w:cols>
          <w:pgMar w:left="315" w:top="120" w:right="319" w:bottom="1440" w:gutter="0" w:footer="0" w:header="0"/>
          <w:type w:val="continuous"/>
        </w:sectPr>
      </w:pPr>
    </w:p>
    <w:bookmarkStart w:id="48" w:name="page49"/>
    <w:bookmarkEnd w:id="48"/>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shd w:val="clear" w:color="auto" w:fill="CCC0DA"/>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shd w:val="clear" w:color="auto" w:fill="CCC0DA"/>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INTEREST RATE EXPOSURE</w:t>
      </w:r>
      <w:r>
        <w:rPr>
          <w:rFonts w:ascii="Times New Roman" w:cs="Times New Roman" w:eastAsia="Times New Roman" w:hAnsi="Times New Roman"/>
          <w:sz w:val="18"/>
          <w:szCs w:val="18"/>
          <w:b w:val="1"/>
          <w:bCs w:val="1"/>
          <w:color w:val="auto"/>
          <w:vertAlign w:val="superscript"/>
        </w:rPr>
        <w:t>(a)</w:t>
      </w:r>
    </w:p>
    <w:p>
      <w:pPr>
        <w:ind w:left="25"/>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p>
      <w:pPr>
        <w:spacing w:after="0" w:line="7"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40" w:type="dxa"/>
            <w:vAlign w:val="bottom"/>
            <w:tcBorders>
              <w:top w:val="single" w:sz="8" w:color="auto"/>
              <w:bottom w:val="single" w:sz="8" w:color="auto"/>
            </w:tcBorders>
            <w:shd w:val="clear" w:color="auto" w:fill="D9D9D9"/>
          </w:tcPr>
          <w:p>
            <w:pPr>
              <w:spacing w:after="0"/>
              <w:rPr>
                <w:sz w:val="16"/>
                <w:szCs w:val="16"/>
                <w:color w:val="auto"/>
              </w:rPr>
            </w:pPr>
          </w:p>
        </w:tc>
        <w:tc>
          <w:tcPr>
            <w:tcW w:w="2180" w:type="dxa"/>
            <w:vAlign w:val="bottom"/>
            <w:tcBorders>
              <w:top w:val="single" w:sz="8" w:color="auto"/>
              <w:bottom w:val="single" w:sz="8" w:color="auto"/>
            </w:tcBorders>
            <w:shd w:val="clear" w:color="auto" w:fill="D9D9D9"/>
          </w:tcPr>
          <w:p>
            <w:pPr>
              <w:spacing w:after="0"/>
              <w:rPr>
                <w:sz w:val="16"/>
                <w:szCs w:val="16"/>
                <w:color w:val="auto"/>
              </w:rPr>
            </w:pPr>
          </w:p>
        </w:tc>
        <w:tc>
          <w:tcPr>
            <w:tcW w:w="1860" w:type="dxa"/>
            <w:vAlign w:val="bottom"/>
            <w:tcBorders>
              <w:top w:val="single" w:sz="8" w:color="auto"/>
              <w:bottom w:val="single" w:sz="8" w:color="auto"/>
            </w:tcBorders>
            <w:gridSpan w:val="3"/>
            <w:shd w:val="clear" w:color="auto" w:fill="D9D9D9"/>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400" w:type="dxa"/>
            <w:vAlign w:val="bottom"/>
            <w:tcBorders>
              <w:top w:val="single" w:sz="8" w:color="auto"/>
              <w:bottom w:val="single" w:sz="8" w:color="auto"/>
            </w:tcBorders>
            <w:shd w:val="clear" w:color="auto" w:fill="D9D9D9"/>
          </w:tcPr>
          <w:p>
            <w:pPr>
              <w:spacing w:after="0"/>
              <w:rPr>
                <w:sz w:val="16"/>
                <w:szCs w:val="16"/>
                <w:color w:val="auto"/>
              </w:rPr>
            </w:pPr>
          </w:p>
        </w:tc>
        <w:tc>
          <w:tcPr>
            <w:tcW w:w="100" w:type="dxa"/>
            <w:vAlign w:val="bottom"/>
            <w:tcBorders>
              <w:top w:val="single" w:sz="8" w:color="auto"/>
              <w:bottom w:val="single" w:sz="8" w:color="auto"/>
            </w:tcBorders>
            <w:shd w:val="clear" w:color="auto" w:fill="D9D9D9"/>
          </w:tcPr>
          <w:p>
            <w:pPr>
              <w:spacing w:after="0"/>
              <w:rPr>
                <w:sz w:val="16"/>
                <w:szCs w:val="16"/>
                <w:color w:val="auto"/>
              </w:rPr>
            </w:pPr>
          </w:p>
        </w:tc>
        <w:tc>
          <w:tcPr>
            <w:tcW w:w="140" w:type="dxa"/>
            <w:vAlign w:val="bottom"/>
            <w:tcBorders>
              <w:top w:val="single" w:sz="8" w:color="auto"/>
              <w:bottom w:val="single" w:sz="8" w:color="auto"/>
            </w:tcBorders>
            <w:shd w:val="clear" w:color="auto" w:fill="D9D9D9"/>
          </w:tcPr>
          <w:p>
            <w:pPr>
              <w:spacing w:after="0"/>
              <w:rPr>
                <w:sz w:val="16"/>
                <w:szCs w:val="16"/>
                <w:color w:val="auto"/>
              </w:rPr>
            </w:pPr>
          </w:p>
        </w:tc>
        <w:tc>
          <w:tcPr>
            <w:tcW w:w="140" w:type="dxa"/>
            <w:vAlign w:val="bottom"/>
            <w:tcBorders>
              <w:top w:val="single" w:sz="8" w:color="auto"/>
              <w:bottom w:val="single" w:sz="8" w:color="auto"/>
            </w:tcBorders>
            <w:shd w:val="clear" w:color="auto" w:fill="D9D9D9"/>
          </w:tcPr>
          <w:p>
            <w:pPr>
              <w:spacing w:after="0"/>
              <w:rPr>
                <w:sz w:val="16"/>
                <w:szCs w:val="16"/>
                <w:color w:val="auto"/>
              </w:rPr>
            </w:pPr>
          </w:p>
        </w:tc>
        <w:tc>
          <w:tcPr>
            <w:tcW w:w="300" w:type="dxa"/>
            <w:vAlign w:val="bottom"/>
            <w:tcBorders>
              <w:top w:val="single" w:sz="8" w:color="auto"/>
              <w:bottom w:val="single" w:sz="8" w:color="auto"/>
            </w:tcBorders>
            <w:shd w:val="clear" w:color="auto" w:fill="D9D9D9"/>
          </w:tcPr>
          <w:p>
            <w:pPr>
              <w:spacing w:after="0"/>
              <w:rPr>
                <w:sz w:val="16"/>
                <w:szCs w:val="16"/>
                <w:color w:val="auto"/>
              </w:rPr>
            </w:pPr>
          </w:p>
        </w:tc>
        <w:tc>
          <w:tcPr>
            <w:tcW w:w="20" w:type="dxa"/>
            <w:vAlign w:val="bottom"/>
            <w:tcBorders>
              <w:top w:val="single" w:sz="8" w:color="auto"/>
              <w:bottom w:val="single" w:sz="8" w:color="auto"/>
            </w:tcBorders>
            <w:shd w:val="clear" w:color="auto" w:fill="D9D9D9"/>
          </w:tcPr>
          <w:p>
            <w:pPr>
              <w:spacing w:after="0"/>
              <w:rPr>
                <w:sz w:val="16"/>
                <w:szCs w:val="16"/>
                <w:color w:val="auto"/>
              </w:rPr>
            </w:pPr>
          </w:p>
        </w:tc>
        <w:tc>
          <w:tcPr>
            <w:tcW w:w="80" w:type="dxa"/>
            <w:vAlign w:val="bottom"/>
            <w:tcBorders>
              <w:top w:val="single" w:sz="8" w:color="auto"/>
              <w:bottom w:val="single" w:sz="8" w:color="auto"/>
            </w:tcBorders>
            <w:shd w:val="clear" w:color="auto" w:fill="D9D9D9"/>
          </w:tcPr>
          <w:p>
            <w:pPr>
              <w:spacing w:after="0"/>
              <w:rPr>
                <w:sz w:val="16"/>
                <w:szCs w:val="16"/>
                <w:color w:val="auto"/>
              </w:rPr>
            </w:pP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shd w:val="clear" w:color="auto" w:fill="D9D9D9"/>
          </w:tcPr>
          <w:p>
            <w:pPr>
              <w:spacing w:after="0"/>
              <w:rPr>
                <w:sz w:val="16"/>
                <w:szCs w:val="16"/>
                <w:color w:val="auto"/>
              </w:rPr>
            </w:pPr>
          </w:p>
        </w:tc>
        <w:tc>
          <w:tcPr>
            <w:tcW w:w="80" w:type="dxa"/>
            <w:vAlign w:val="bottom"/>
            <w:tcBorders>
              <w:top w:val="single" w:sz="8" w:color="auto"/>
              <w:bottom w:val="single" w:sz="8" w:color="auto"/>
            </w:tcBorders>
            <w:shd w:val="clear" w:color="auto" w:fill="D9D9D9"/>
          </w:tcPr>
          <w:p>
            <w:pPr>
              <w:spacing w:after="0"/>
              <w:rPr>
                <w:sz w:val="16"/>
                <w:szCs w:val="16"/>
                <w:color w:val="auto"/>
              </w:rPr>
            </w:pP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440" w:type="dxa"/>
            <w:vAlign w:val="bottom"/>
            <w:tcBorders>
              <w:top w:val="single" w:sz="8" w:color="auto"/>
              <w:bottom w:val="single" w:sz="8" w:color="auto"/>
            </w:tcBorders>
            <w:shd w:val="clear" w:color="auto" w:fill="D9D9D9"/>
          </w:tcPr>
          <w:p>
            <w:pPr>
              <w:spacing w:after="0"/>
              <w:rPr>
                <w:sz w:val="16"/>
                <w:szCs w:val="16"/>
                <w:color w:val="auto"/>
              </w:rPr>
            </w:pPr>
          </w:p>
        </w:tc>
        <w:tc>
          <w:tcPr>
            <w:tcW w:w="80" w:type="dxa"/>
            <w:vAlign w:val="bottom"/>
            <w:tcBorders>
              <w:top w:val="single" w:sz="8" w:color="auto"/>
              <w:bottom w:val="single" w:sz="8" w:color="auto"/>
            </w:tcBorders>
            <w:shd w:val="clear" w:color="auto" w:fill="D9D9D9"/>
          </w:tcPr>
          <w:p>
            <w:pPr>
              <w:spacing w:after="0"/>
              <w:rPr>
                <w:sz w:val="16"/>
                <w:szCs w:val="16"/>
                <w:color w:val="auto"/>
              </w:rPr>
            </w:pP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460" w:type="dxa"/>
            <w:vAlign w:val="bottom"/>
            <w:tcBorders>
              <w:top w:val="single" w:sz="8" w:color="auto"/>
              <w:bottom w:val="single" w:sz="8" w:color="auto"/>
            </w:tcBorders>
            <w:shd w:val="clear" w:color="auto" w:fill="D9D9D9"/>
          </w:tcPr>
          <w:p>
            <w:pPr>
              <w:spacing w:after="0"/>
              <w:rPr>
                <w:sz w:val="16"/>
                <w:szCs w:val="16"/>
                <w:color w:val="auto"/>
              </w:rPr>
            </w:pPr>
          </w:p>
        </w:tc>
        <w:tc>
          <w:tcPr>
            <w:tcW w:w="80" w:type="dxa"/>
            <w:vAlign w:val="bottom"/>
            <w:tcBorders>
              <w:top w:val="single" w:sz="8" w:color="auto"/>
              <w:bottom w:val="single" w:sz="8" w:color="auto"/>
            </w:tcBorders>
            <w:shd w:val="clear" w:color="auto" w:fill="D9D9D9"/>
          </w:tcPr>
          <w:p>
            <w:pPr>
              <w:spacing w:after="0"/>
              <w:rPr>
                <w:sz w:val="16"/>
                <w:szCs w:val="16"/>
                <w:color w:val="auto"/>
              </w:rPr>
            </w:pPr>
          </w:p>
        </w:tc>
        <w:tc>
          <w:tcPr>
            <w:tcW w:w="200" w:type="dxa"/>
            <w:vAlign w:val="bottom"/>
            <w:tcBorders>
              <w:top w:val="single" w:sz="8" w:color="auto"/>
              <w:bottom w:val="single" w:sz="8" w:color="auto"/>
            </w:tcBorders>
            <w:shd w:val="clear" w:color="auto" w:fill="D9D9D9"/>
          </w:tcPr>
          <w:p>
            <w:pPr>
              <w:spacing w:after="0"/>
              <w:rPr>
                <w:sz w:val="16"/>
                <w:szCs w:val="16"/>
                <w:color w:val="auto"/>
              </w:rPr>
            </w:pPr>
          </w:p>
        </w:tc>
        <w:tc>
          <w:tcPr>
            <w:tcW w:w="360" w:type="dxa"/>
            <w:vAlign w:val="bottom"/>
            <w:tcBorders>
              <w:top w:val="single" w:sz="8" w:color="auto"/>
              <w:bottom w:val="single" w:sz="8" w:color="auto"/>
            </w:tcBorders>
            <w:shd w:val="clear" w:color="auto" w:fill="D9D9D9"/>
          </w:tcPr>
          <w:p>
            <w:pPr>
              <w:spacing w:after="0"/>
              <w:rPr>
                <w:sz w:val="16"/>
                <w:szCs w:val="16"/>
                <w:color w:val="auto"/>
              </w:rPr>
            </w:pPr>
          </w:p>
        </w:tc>
        <w:tc>
          <w:tcPr>
            <w:tcW w:w="1540" w:type="dxa"/>
            <w:vAlign w:val="bottom"/>
            <w:tcBorders>
              <w:top w:val="single" w:sz="8" w:color="auto"/>
              <w:bottom w:val="single" w:sz="8" w:color="auto"/>
            </w:tcBorders>
            <w:gridSpan w:val="8"/>
            <w:shd w:val="clear" w:color="auto" w:fill="D9D9D9"/>
          </w:tcPr>
          <w:p>
            <w:pPr>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60" w:type="dxa"/>
            <w:vAlign w:val="bottom"/>
            <w:tcBorders>
              <w:top w:val="single" w:sz="8" w:color="auto"/>
              <w:bottom w:val="single" w:sz="8" w:color="auto"/>
            </w:tcBorders>
            <w:shd w:val="clear" w:color="auto" w:fill="D9D9D9"/>
          </w:tcPr>
          <w:p>
            <w:pPr>
              <w:spacing w:after="0"/>
              <w:rPr>
                <w:sz w:val="16"/>
                <w:szCs w:val="16"/>
                <w:color w:val="auto"/>
              </w:rPr>
            </w:pPr>
          </w:p>
        </w:tc>
        <w:tc>
          <w:tcPr>
            <w:tcW w:w="700" w:type="dxa"/>
            <w:vAlign w:val="bottom"/>
            <w:tcBorders>
              <w:top w:val="single" w:sz="8" w:color="auto"/>
              <w:bottom w:val="single" w:sz="8" w:color="auto"/>
            </w:tcBorders>
            <w:shd w:val="clear" w:color="auto" w:fill="D9D9D9"/>
          </w:tcPr>
          <w:p>
            <w:pPr>
              <w:spacing w:after="0"/>
              <w:rPr>
                <w:sz w:val="16"/>
                <w:szCs w:val="16"/>
                <w:color w:val="auto"/>
              </w:rPr>
            </w:pPr>
          </w:p>
        </w:tc>
        <w:tc>
          <w:tcPr>
            <w:tcW w:w="80" w:type="dxa"/>
            <w:vAlign w:val="bottom"/>
            <w:tcBorders>
              <w:top w:val="single" w:sz="8" w:color="auto"/>
              <w:bottom w:val="single" w:sz="8" w:color="auto"/>
            </w:tcBorders>
            <w:shd w:val="clear" w:color="auto" w:fill="D9D9D9"/>
          </w:tcPr>
          <w:p>
            <w:pPr>
              <w:spacing w:after="0"/>
              <w:rPr>
                <w:sz w:val="16"/>
                <w:szCs w:val="16"/>
                <w:color w:val="auto"/>
              </w:rPr>
            </w:pPr>
          </w:p>
        </w:tc>
        <w:tc>
          <w:tcPr>
            <w:tcW w:w="180" w:type="dxa"/>
            <w:vAlign w:val="bottom"/>
            <w:tcBorders>
              <w:top w:val="single" w:sz="8" w:color="auto"/>
              <w:bottom w:val="single" w:sz="8" w:color="auto"/>
            </w:tcBorders>
            <w:shd w:val="clear" w:color="auto" w:fill="D9D9D9"/>
          </w:tcPr>
          <w:p>
            <w:pPr>
              <w:spacing w:after="0"/>
              <w:rPr>
                <w:sz w:val="16"/>
                <w:szCs w:val="16"/>
                <w:color w:val="auto"/>
              </w:rPr>
            </w:pPr>
          </w:p>
        </w:tc>
        <w:tc>
          <w:tcPr>
            <w:tcW w:w="660" w:type="dxa"/>
            <w:vAlign w:val="bottom"/>
            <w:tcBorders>
              <w:top w:val="single" w:sz="8" w:color="auto"/>
              <w:bottom w:val="single" w:sz="8" w:color="auto"/>
            </w:tcBorders>
            <w:shd w:val="clear" w:color="auto" w:fill="D9D9D9"/>
          </w:tcPr>
          <w:p>
            <w:pPr>
              <w:spacing w:after="0"/>
              <w:rPr>
                <w:sz w:val="16"/>
                <w:szCs w:val="16"/>
                <w:color w:val="auto"/>
              </w:rPr>
            </w:pPr>
          </w:p>
        </w:tc>
        <w:tc>
          <w:tcPr>
            <w:tcW w:w="40" w:type="dxa"/>
            <w:vAlign w:val="bottom"/>
            <w:tcBorders>
              <w:top w:val="single" w:sz="8" w:color="auto"/>
              <w:bottom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Face value of principal outstanding</w:t>
            </w:r>
            <w:r>
              <w:rPr>
                <w:rFonts w:ascii="Times New Roman" w:cs="Times New Roman" w:eastAsia="Times New Roman" w:hAnsi="Times New Roman"/>
                <w:sz w:val="18"/>
                <w:szCs w:val="18"/>
                <w:color w:val="auto"/>
                <w:vertAlign w:val="superscript"/>
              </w:rPr>
              <w:t>(b)</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$21,483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10"/>
          </w:tcPr>
          <w:p>
            <w:pPr>
              <w:spacing w:after="0" w:line="181" w:lineRule="exact"/>
              <w:rPr>
                <w:sz w:val="20"/>
                <w:szCs w:val="20"/>
                <w:color w:val="auto"/>
              </w:rPr>
            </w:pPr>
            <w:r>
              <w:rPr>
                <w:rFonts w:ascii="Times New Roman" w:cs="Times New Roman" w:eastAsia="Times New Roman" w:hAnsi="Times New Roman"/>
                <w:sz w:val="14"/>
                <w:szCs w:val="14"/>
                <w:color w:val="auto"/>
              </w:rPr>
              <w:t>Face value of principal outstanding</w:t>
            </w:r>
            <w:r>
              <w:rPr>
                <w:rFonts w:ascii="Times New Roman" w:cs="Times New Roman" w:eastAsia="Times New Roman" w:hAnsi="Times New Roman"/>
                <w:sz w:val="18"/>
                <w:szCs w:val="18"/>
                <w:color w:val="auto"/>
                <w:vertAlign w:val="superscript"/>
              </w:rPr>
              <w:t>(b)</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$2,458</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 of total debt</w:t>
            </w:r>
          </w:p>
        </w:tc>
        <w:tc>
          <w:tcPr>
            <w:tcW w:w="144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200" w:type="dxa"/>
            <w:vAlign w:val="bottom"/>
            <w:tcBorders>
              <w:left w:val="single" w:sz="8" w:color="DBE5F1"/>
            </w:tcBorders>
            <w:shd w:val="clear" w:color="auto" w:fill="DBE5F1"/>
          </w:tcPr>
          <w:p>
            <w:pPr>
              <w:spacing w:after="0"/>
              <w:rPr>
                <w:sz w:val="16"/>
                <w:szCs w:val="16"/>
                <w:color w:val="auto"/>
              </w:rPr>
            </w:pPr>
          </w:p>
        </w:tc>
        <w:tc>
          <w:tcPr>
            <w:tcW w:w="500" w:type="dxa"/>
            <w:vAlign w:val="bottom"/>
            <w:gridSpan w:val="2"/>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5"/>
            <w:shd w:val="clear" w:color="auto" w:fill="DBE5F1"/>
          </w:tcPr>
          <w:p>
            <w:pPr>
              <w:spacing w:after="0"/>
              <w:rPr>
                <w:sz w:val="20"/>
                <w:szCs w:val="20"/>
                <w:color w:val="auto"/>
              </w:rPr>
            </w:pPr>
            <w:r>
              <w:rPr>
                <w:rFonts w:ascii="Times New Roman" w:cs="Times New Roman" w:eastAsia="Times New Roman" w:hAnsi="Times New Roman"/>
                <w:sz w:val="14"/>
                <w:szCs w:val="14"/>
                <w:color w:val="auto"/>
              </w:rPr>
              <w:t>% of total debt</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5"/>
              </w:rPr>
              <w:t>3.7%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9"/>
          </w:tcPr>
          <w:p>
            <w:pPr>
              <w:spacing w:after="0" w:line="189" w:lineRule="exact"/>
              <w:rPr>
                <w:sz w:val="20"/>
                <w:szCs w:val="20"/>
                <w:color w:val="auto"/>
              </w:rPr>
            </w:pPr>
            <w:r>
              <w:rPr>
                <w:rFonts w:ascii="Times New Roman" w:cs="Times New Roman" w:eastAsia="Times New Roman" w:hAnsi="Times New Roman"/>
                <w:sz w:val="14"/>
                <w:szCs w:val="14"/>
                <w:color w:val="auto"/>
                <w:w w:val="98"/>
              </w:rPr>
              <w:t>Weighted average interest rate</w:t>
            </w:r>
            <w:r>
              <w:rPr>
                <w:rFonts w:ascii="Times New Roman" w:cs="Times New Roman" w:eastAsia="Times New Roman" w:hAnsi="Times New Roman"/>
                <w:sz w:val="18"/>
                <w:szCs w:val="18"/>
                <w:color w:val="auto"/>
                <w:w w:val="98"/>
                <w:vertAlign w:val="superscript"/>
              </w:rPr>
              <w:t>(c)</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DBE5F1"/>
          </w:tcPr>
          <w:p>
            <w:pPr>
              <w:spacing w:after="0"/>
              <w:rPr>
                <w:sz w:val="16"/>
                <w:szCs w:val="16"/>
                <w:color w:val="auto"/>
              </w:rPr>
            </w:pPr>
          </w:p>
        </w:tc>
        <w:tc>
          <w:tcPr>
            <w:tcW w:w="2180" w:type="dxa"/>
            <w:vAlign w:val="bottom"/>
            <w:shd w:val="clear" w:color="auto" w:fill="DBE5F1"/>
          </w:tcPr>
          <w:p>
            <w:pPr>
              <w:spacing w:after="0"/>
              <w:rPr>
                <w:sz w:val="16"/>
                <w:szCs w:val="16"/>
                <w:color w:val="auto"/>
              </w:rPr>
            </w:pPr>
          </w:p>
        </w:tc>
        <w:tc>
          <w:tcPr>
            <w:tcW w:w="144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200" w:type="dxa"/>
            <w:vAlign w:val="bottom"/>
            <w:tcBorders>
              <w:left w:val="single" w:sz="8" w:color="DBE5F1"/>
            </w:tcBorders>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gridSpan w:val="3"/>
            <w:shd w:val="clear" w:color="auto" w:fill="DBE5F1"/>
          </w:tcPr>
          <w:p>
            <w:pPr>
              <w:spacing w:after="0"/>
              <w:rPr>
                <w:sz w:val="16"/>
                <w:szCs w:val="16"/>
                <w:color w:val="auto"/>
              </w:rPr>
            </w:pPr>
          </w:p>
        </w:tc>
        <w:tc>
          <w:tcPr>
            <w:tcW w:w="700" w:type="dxa"/>
            <w:vAlign w:val="bottom"/>
            <w:gridSpan w:val="3"/>
            <w:shd w:val="clear" w:color="auto" w:fill="DBE5F1"/>
          </w:tcPr>
          <w:p>
            <w:pPr>
              <w:spacing w:after="0"/>
              <w:rPr>
                <w:sz w:val="16"/>
                <w:szCs w:val="16"/>
                <w:color w:val="auto"/>
              </w:rPr>
            </w:pPr>
          </w:p>
        </w:tc>
        <w:tc>
          <w:tcPr>
            <w:tcW w:w="700" w:type="dxa"/>
            <w:vAlign w:val="bottom"/>
            <w:gridSpan w:val="4"/>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spacing w:after="0"/>
              <w:rPr>
                <w:sz w:val="16"/>
                <w:szCs w:val="16"/>
                <w:color w:val="auto"/>
              </w:rPr>
            </w:pPr>
          </w:p>
        </w:tc>
        <w:tc>
          <w:tcPr>
            <w:tcW w:w="700" w:type="dxa"/>
            <w:vAlign w:val="bottom"/>
            <w:gridSpan w:val="3"/>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2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4"/>
                <w:szCs w:val="14"/>
                <w:color w:val="auto"/>
              </w:rPr>
              <w:t>Upcoming maturities:</w:t>
            </w:r>
          </w:p>
        </w:tc>
        <w:tc>
          <w:tcPr>
            <w:tcW w:w="1440" w:type="dxa"/>
            <w:vAlign w:val="bottom"/>
          </w:tcPr>
          <w:p>
            <w:pPr>
              <w:spacing w:after="0"/>
              <w:rPr>
                <w:sz w:val="13"/>
                <w:szCs w:val="13"/>
                <w:color w:val="auto"/>
              </w:rPr>
            </w:pPr>
          </w:p>
        </w:tc>
        <w:tc>
          <w:tcPr>
            <w:tcW w:w="42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3"/>
                <w:szCs w:val="13"/>
                <w:b w:val="1"/>
                <w:bCs w:val="1"/>
                <w:color w:val="auto"/>
                <w:w w:val="90"/>
              </w:rPr>
              <w:t>2025</w:t>
            </w:r>
            <w:r>
              <w:rPr>
                <w:rFonts w:ascii="Times New Roman" w:cs="Times New Roman" w:eastAsia="Times New Roman" w:hAnsi="Times New Roman"/>
                <w:sz w:val="17"/>
                <w:szCs w:val="17"/>
                <w:b w:val="1"/>
                <w:bCs w:val="1"/>
                <w:color w:val="auto"/>
                <w:w w:val="90"/>
                <w:vertAlign w:val="superscript"/>
              </w:rPr>
              <w:t>(d)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3"/>
          </w:tcPr>
          <w:p>
            <w:pPr>
              <w:jc w:val="center"/>
              <w:ind w:left="49"/>
              <w:spacing w:after="0" w:line="154"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gridSpan w:val="18"/>
          </w:tcPr>
          <w:p>
            <w:pPr>
              <w:spacing w:after="0" w:line="154" w:lineRule="exact"/>
              <w:rPr>
                <w:sz w:val="20"/>
                <w:szCs w:val="20"/>
                <w:color w:val="auto"/>
              </w:rPr>
            </w:pPr>
            <w:r>
              <w:rPr>
                <w:rFonts w:ascii="Times New Roman" w:cs="Times New Roman" w:eastAsia="Times New Roman" w:hAnsi="Times New Roman"/>
                <w:sz w:val="14"/>
                <w:szCs w:val="14"/>
                <w:color w:val="auto"/>
              </w:rPr>
              <w:t>Interest rate sensitivity of 25 bps increase in interest rates: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gridSpan w:val="2"/>
            <w:shd w:val="clear" w:color="auto" w:fill="DBE5F1"/>
          </w:tcPr>
          <w:p>
            <w:pPr>
              <w:ind w:left="20"/>
              <w:spacing w:after="0" w:line="197" w:lineRule="exact"/>
              <w:rPr>
                <w:sz w:val="20"/>
                <w:szCs w:val="20"/>
                <w:color w:val="auto"/>
              </w:rPr>
            </w:pPr>
            <w:r>
              <w:rPr>
                <w:rFonts w:ascii="Times New Roman" w:cs="Times New Roman" w:eastAsia="Times New Roman" w:hAnsi="Times New Roman"/>
                <w:sz w:val="14"/>
                <w:szCs w:val="14"/>
                <w:color w:val="auto"/>
              </w:rPr>
              <w:t>Face value of principal outstanding</w:t>
            </w:r>
            <w:r>
              <w:rPr>
                <w:rFonts w:ascii="Times New Roman" w:cs="Times New Roman" w:eastAsia="Times New Roman" w:hAnsi="Times New Roman"/>
                <w:sz w:val="18"/>
                <w:szCs w:val="18"/>
                <w:color w:val="auto"/>
                <w:vertAlign w:val="superscript"/>
              </w:rPr>
              <w:t>(b)</w:t>
            </w:r>
          </w:p>
        </w:tc>
        <w:tc>
          <w:tcPr>
            <w:tcW w:w="18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400" w:type="dxa"/>
            <w:vAlign w:val="bottom"/>
            <w:shd w:val="clear" w:color="auto" w:fill="DBE5F1"/>
          </w:tcPr>
          <w:p>
            <w:pPr>
              <w:spacing w:after="0"/>
              <w:rPr>
                <w:sz w:val="17"/>
                <w:szCs w:val="17"/>
                <w:color w:val="auto"/>
              </w:rPr>
            </w:pPr>
          </w:p>
        </w:tc>
        <w:tc>
          <w:tcPr>
            <w:tcW w:w="100" w:type="dxa"/>
            <w:vAlign w:val="bottom"/>
            <w:shd w:val="clear" w:color="auto" w:fill="DBE5F1"/>
          </w:tcPr>
          <w:p>
            <w:pPr>
              <w:spacing w:after="0"/>
              <w:rPr>
                <w:sz w:val="17"/>
                <w:szCs w:val="17"/>
                <w:color w:val="auto"/>
              </w:rPr>
            </w:pPr>
          </w:p>
        </w:tc>
        <w:tc>
          <w:tcPr>
            <w:tcW w:w="140" w:type="dxa"/>
            <w:vAlign w:val="bottom"/>
            <w:shd w:val="clear" w:color="auto" w:fill="DBE5F1"/>
          </w:tcPr>
          <w:p>
            <w:pPr>
              <w:spacing w:after="0"/>
              <w:rPr>
                <w:sz w:val="17"/>
                <w:szCs w:val="17"/>
                <w:color w:val="auto"/>
              </w:rPr>
            </w:pPr>
          </w:p>
        </w:tc>
        <w:tc>
          <w:tcPr>
            <w:tcW w:w="540" w:type="dxa"/>
            <w:vAlign w:val="bottom"/>
            <w:gridSpan w:val="4"/>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8"/>
              </w:rPr>
              <w:t>$2,650</w:t>
            </w:r>
          </w:p>
        </w:tc>
        <w:tc>
          <w:tcPr>
            <w:tcW w:w="16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6"/>
            <w:shd w:val="clear" w:color="auto" w:fill="DBE5F1"/>
          </w:tcPr>
          <w:p>
            <w:pPr>
              <w:spacing w:after="0" w:line="197" w:lineRule="exact"/>
              <w:rPr>
                <w:sz w:val="20"/>
                <w:szCs w:val="20"/>
                <w:color w:val="auto"/>
              </w:rPr>
            </w:pPr>
            <w:r>
              <w:rPr>
                <w:rFonts w:ascii="Times New Roman" w:cs="Times New Roman" w:eastAsia="Times New Roman" w:hAnsi="Times New Roman"/>
                <w:sz w:val="14"/>
                <w:szCs w:val="14"/>
                <w:color w:val="auto"/>
              </w:rPr>
              <w:t>Full year effect</w:t>
            </w:r>
            <w:r>
              <w:rPr>
                <w:rFonts w:ascii="Times New Roman" w:cs="Times New Roman" w:eastAsia="Times New Roman" w:hAnsi="Times New Roman"/>
                <w:sz w:val="18"/>
                <w:szCs w:val="18"/>
                <w:color w:val="auto"/>
                <w:vertAlign w:val="superscript"/>
              </w:rPr>
              <w:t>(e)</w:t>
            </w:r>
          </w:p>
        </w:tc>
        <w:tc>
          <w:tcPr>
            <w:tcW w:w="4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200" w:type="dxa"/>
            <w:vAlign w:val="bottom"/>
            <w:shd w:val="clear" w:color="auto" w:fill="DBE5F1"/>
          </w:tcPr>
          <w:p>
            <w:pPr>
              <w:spacing w:after="0"/>
              <w:rPr>
                <w:sz w:val="17"/>
                <w:szCs w:val="17"/>
                <w:color w:val="auto"/>
              </w:rPr>
            </w:pPr>
          </w:p>
        </w:tc>
        <w:tc>
          <w:tcPr>
            <w:tcW w:w="360" w:type="dxa"/>
            <w:vAlign w:val="bottom"/>
            <w:shd w:val="clear" w:color="auto" w:fill="DBE5F1"/>
          </w:tcPr>
          <w:p>
            <w:pPr>
              <w:spacing w:after="0"/>
              <w:rPr>
                <w:sz w:val="17"/>
                <w:szCs w:val="17"/>
                <w:color w:val="auto"/>
              </w:rPr>
            </w:pPr>
          </w:p>
        </w:tc>
        <w:tc>
          <w:tcPr>
            <w:tcW w:w="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4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460" w:type="dxa"/>
            <w:vAlign w:val="bottom"/>
            <w:shd w:val="clear" w:color="auto" w:fill="DBE5F1"/>
          </w:tcPr>
          <w:p>
            <w:pPr>
              <w:spacing w:after="0"/>
              <w:rPr>
                <w:sz w:val="17"/>
                <w:szCs w:val="17"/>
                <w:color w:val="auto"/>
              </w:rPr>
            </w:pPr>
          </w:p>
        </w:tc>
        <w:tc>
          <w:tcPr>
            <w:tcW w:w="8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DBE5F1"/>
          </w:tcPr>
          <w:p>
            <w:pPr>
              <w:spacing w:after="0"/>
              <w:rPr>
                <w:sz w:val="17"/>
                <w:szCs w:val="17"/>
                <w:color w:val="auto"/>
              </w:rPr>
            </w:pPr>
          </w:p>
        </w:tc>
        <w:tc>
          <w:tcPr>
            <w:tcW w:w="180" w:type="dxa"/>
            <w:vAlign w:val="bottom"/>
            <w:shd w:val="clear" w:color="auto" w:fill="DBE5F1"/>
          </w:tcPr>
          <w:p>
            <w:pPr>
              <w:spacing w:after="0"/>
              <w:rPr>
                <w:sz w:val="17"/>
                <w:szCs w:val="17"/>
                <w:color w:val="auto"/>
              </w:rPr>
            </w:pPr>
          </w:p>
        </w:tc>
        <w:tc>
          <w:tcPr>
            <w:tcW w:w="660" w:type="dxa"/>
            <w:vAlign w:val="bottom"/>
            <w:shd w:val="clear" w:color="auto" w:fill="DBE5F1"/>
          </w:tcPr>
          <w:p>
            <w:pPr>
              <w:spacing w:after="0"/>
              <w:rPr>
                <w:sz w:val="17"/>
                <w:szCs w:val="17"/>
                <w:color w:val="auto"/>
              </w:rPr>
            </w:pPr>
          </w:p>
        </w:tc>
        <w:tc>
          <w:tcPr>
            <w:tcW w:w="4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186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color w:val="auto"/>
              </w:rPr>
              <w:t>2.7%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tcPr>
          <w:p>
            <w:pPr>
              <w:jc w:val="center"/>
              <w:ind w:left="4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4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8"/>
          </w:tcPr>
          <w:p>
            <w:pPr>
              <w:ind w:left="200"/>
              <w:spacing w:after="0"/>
              <w:rPr>
                <w:sz w:val="20"/>
                <w:szCs w:val="20"/>
                <w:color w:val="auto"/>
              </w:rPr>
            </w:pPr>
            <w:r>
              <w:rPr>
                <w:rFonts w:ascii="Times New Roman" w:cs="Times New Roman" w:eastAsia="Times New Roman" w:hAnsi="Times New Roman"/>
                <w:sz w:val="14"/>
                <w:szCs w:val="14"/>
                <w:b w:val="1"/>
                <w:bCs w:val="1"/>
                <w:color w:val="auto"/>
              </w:rPr>
              <w:t>COMPONENTS OF INTEREST EXPENSE</w:t>
            </w: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180" w:type="dxa"/>
            <w:vAlign w:val="bottom"/>
            <w:shd w:val="clear" w:color="auto" w:fill="D9D9D9"/>
          </w:tcPr>
          <w:p>
            <w:pPr>
              <w:spacing w:after="0"/>
              <w:rPr>
                <w:sz w:val="11"/>
                <w:szCs w:val="11"/>
                <w:color w:val="auto"/>
              </w:rPr>
            </w:pPr>
          </w:p>
        </w:tc>
        <w:tc>
          <w:tcPr>
            <w:tcW w:w="1440" w:type="dxa"/>
            <w:vAlign w:val="bottom"/>
            <w:shd w:val="clear" w:color="auto" w:fill="D9D9D9"/>
          </w:tcPr>
          <w:p>
            <w:pPr>
              <w:spacing w:after="0"/>
              <w:rPr>
                <w:sz w:val="11"/>
                <w:szCs w:val="11"/>
                <w:color w:val="auto"/>
              </w:rPr>
            </w:pPr>
          </w:p>
        </w:tc>
        <w:tc>
          <w:tcPr>
            <w:tcW w:w="220" w:type="dxa"/>
            <w:vAlign w:val="bottom"/>
            <w:shd w:val="clear" w:color="auto" w:fill="D9D9D9"/>
          </w:tcPr>
          <w:p>
            <w:pPr>
              <w:spacing w:after="0"/>
              <w:rPr>
                <w:sz w:val="11"/>
                <w:szCs w:val="11"/>
                <w:color w:val="auto"/>
              </w:rPr>
            </w:pPr>
          </w:p>
        </w:tc>
        <w:tc>
          <w:tcPr>
            <w:tcW w:w="200" w:type="dxa"/>
            <w:vAlign w:val="bottom"/>
            <w:tcBorders>
              <w:left w:val="single" w:sz="8" w:color="D9D9D9"/>
            </w:tcBorders>
            <w:shd w:val="clear" w:color="auto" w:fill="D9D9D9"/>
          </w:tcPr>
          <w:p>
            <w:pPr>
              <w:spacing w:after="0"/>
              <w:rPr>
                <w:sz w:val="11"/>
                <w:szCs w:val="11"/>
                <w:color w:val="auto"/>
              </w:rPr>
            </w:pPr>
          </w:p>
        </w:tc>
        <w:tc>
          <w:tcPr>
            <w:tcW w:w="40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40" w:type="dxa"/>
            <w:vAlign w:val="bottom"/>
            <w:shd w:val="clear" w:color="auto" w:fill="D9D9D9"/>
          </w:tcPr>
          <w:p>
            <w:pPr>
              <w:spacing w:after="0"/>
              <w:rPr>
                <w:sz w:val="11"/>
                <w:szCs w:val="11"/>
                <w:color w:val="auto"/>
              </w:rPr>
            </w:pPr>
          </w:p>
        </w:tc>
        <w:tc>
          <w:tcPr>
            <w:tcW w:w="700" w:type="dxa"/>
            <w:vAlign w:val="bottom"/>
            <w:gridSpan w:val="5"/>
            <w:vMerge w:val="restart"/>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18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44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200" w:type="dxa"/>
            <w:vAlign w:val="bottom"/>
            <w:shd w:val="clear" w:color="auto" w:fill="D9D9D9"/>
          </w:tcPr>
          <w:p>
            <w:pPr>
              <w:spacing w:after="0"/>
              <w:rPr>
                <w:sz w:val="11"/>
                <w:szCs w:val="11"/>
                <w:color w:val="auto"/>
              </w:rPr>
            </w:pPr>
          </w:p>
        </w:tc>
        <w:tc>
          <w:tcPr>
            <w:tcW w:w="660" w:type="dxa"/>
            <w:vAlign w:val="bottom"/>
            <w:gridSpan w:val="4"/>
            <w:vMerge w:val="restart"/>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46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60" w:type="dxa"/>
            <w:vAlign w:val="bottom"/>
            <w:shd w:val="clear" w:color="auto" w:fill="D9D9D9"/>
          </w:tcPr>
          <w:p>
            <w:pPr>
              <w:spacing w:after="0"/>
              <w:rPr>
                <w:sz w:val="11"/>
                <w:szCs w:val="11"/>
                <w:color w:val="auto"/>
              </w:rPr>
            </w:pPr>
          </w:p>
        </w:tc>
        <w:tc>
          <w:tcPr>
            <w:tcW w:w="1620" w:type="dxa"/>
            <w:vAlign w:val="bottom"/>
            <w:gridSpan w:val="4"/>
            <w:shd w:val="clear" w:color="auto" w:fill="D9D9D9"/>
          </w:tcPr>
          <w:p>
            <w:pPr>
              <w:jc w:val="right"/>
              <w:ind w:right="149"/>
              <w:spacing w:after="0" w:line="137"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180" w:type="dxa"/>
            <w:vAlign w:val="bottom"/>
            <w:tcBorders>
              <w:bottom w:val="single" w:sz="8" w:color="D9D9D9"/>
            </w:tcBorders>
            <w:shd w:val="clear" w:color="auto" w:fill="D9D9D9"/>
          </w:tcPr>
          <w:p>
            <w:pPr>
              <w:spacing w:after="0"/>
              <w:rPr>
                <w:sz w:val="16"/>
                <w:szCs w:val="16"/>
                <w:color w:val="auto"/>
              </w:rPr>
            </w:pPr>
          </w:p>
        </w:tc>
        <w:tc>
          <w:tcPr>
            <w:tcW w:w="1440" w:type="dxa"/>
            <w:vAlign w:val="bottom"/>
            <w:tcBorders>
              <w:bottom w:val="single" w:sz="8" w:color="D9D9D9"/>
            </w:tcBorders>
            <w:shd w:val="clear" w:color="auto" w:fill="D9D9D9"/>
          </w:tcPr>
          <w:p>
            <w:pPr>
              <w:spacing w:after="0"/>
              <w:rPr>
                <w:sz w:val="16"/>
                <w:szCs w:val="16"/>
                <w:color w:val="auto"/>
              </w:rPr>
            </w:pPr>
          </w:p>
        </w:tc>
        <w:tc>
          <w:tcPr>
            <w:tcW w:w="220" w:type="dxa"/>
            <w:vAlign w:val="bottom"/>
            <w:tcBorders>
              <w:bottom w:val="single" w:sz="8" w:color="D9D9D9"/>
            </w:tcBorders>
            <w:shd w:val="clear" w:color="auto" w:fill="D9D9D9"/>
          </w:tcPr>
          <w:p>
            <w:pPr>
              <w:spacing w:after="0"/>
              <w:rPr>
                <w:sz w:val="16"/>
                <w:szCs w:val="16"/>
                <w:color w:val="auto"/>
              </w:rPr>
            </w:pPr>
          </w:p>
        </w:tc>
        <w:tc>
          <w:tcPr>
            <w:tcW w:w="200" w:type="dxa"/>
            <w:vAlign w:val="bottom"/>
            <w:tcBorders>
              <w:left w:val="single" w:sz="8" w:color="D9D9D9"/>
              <w:bottom w:val="single" w:sz="8" w:color="auto"/>
            </w:tcBorders>
            <w:shd w:val="clear" w:color="auto" w:fill="D9D9D9"/>
          </w:tcPr>
          <w:p>
            <w:pPr>
              <w:spacing w:after="0"/>
              <w:rPr>
                <w:sz w:val="16"/>
                <w:szCs w:val="16"/>
                <w:color w:val="auto"/>
              </w:rPr>
            </w:pPr>
          </w:p>
        </w:tc>
        <w:tc>
          <w:tcPr>
            <w:tcW w:w="40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40" w:type="dxa"/>
            <w:vAlign w:val="bottom"/>
            <w:tcBorders>
              <w:bottom w:val="single" w:sz="8" w:color="auto"/>
            </w:tcBorders>
            <w:shd w:val="clear" w:color="auto" w:fill="D9D9D9"/>
          </w:tcPr>
          <w:p>
            <w:pPr>
              <w:spacing w:after="0"/>
              <w:rPr>
                <w:sz w:val="16"/>
                <w:szCs w:val="16"/>
                <w:color w:val="auto"/>
              </w:rPr>
            </w:pPr>
          </w:p>
        </w:tc>
        <w:tc>
          <w:tcPr>
            <w:tcW w:w="700" w:type="dxa"/>
            <w:vAlign w:val="bottom"/>
            <w:tcBorders>
              <w:bottom w:val="single" w:sz="8" w:color="auto"/>
            </w:tcBorders>
            <w:gridSpan w:val="5"/>
            <w:vMerge w:val="continue"/>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18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44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46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200" w:type="dxa"/>
            <w:vAlign w:val="bottom"/>
            <w:tcBorders>
              <w:bottom w:val="single" w:sz="8" w:color="auto"/>
            </w:tcBorders>
            <w:shd w:val="clear" w:color="auto" w:fill="D9D9D9"/>
          </w:tcPr>
          <w:p>
            <w:pPr>
              <w:spacing w:after="0"/>
              <w:rPr>
                <w:sz w:val="16"/>
                <w:szCs w:val="16"/>
                <w:color w:val="auto"/>
              </w:rPr>
            </w:pPr>
          </w:p>
        </w:tc>
        <w:tc>
          <w:tcPr>
            <w:tcW w:w="660" w:type="dxa"/>
            <w:vAlign w:val="bottom"/>
            <w:tcBorders>
              <w:bottom w:val="single" w:sz="8" w:color="auto"/>
            </w:tcBorders>
            <w:gridSpan w:val="4"/>
            <w:vMerge w:val="continue"/>
            <w:shd w:val="clear" w:color="auto" w:fill="D9D9D9"/>
          </w:tcPr>
          <w:p>
            <w:pPr>
              <w:spacing w:after="0"/>
              <w:rPr>
                <w:sz w:val="16"/>
                <w:szCs w:val="16"/>
                <w:color w:val="auto"/>
              </w:rPr>
            </w:pPr>
          </w:p>
        </w:tc>
        <w:tc>
          <w:tcPr>
            <w:tcW w:w="46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46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D9D9D9"/>
            </w:tcBorders>
            <w:shd w:val="clear" w:color="auto" w:fill="D9D9D9"/>
          </w:tcPr>
          <w:p>
            <w:pPr>
              <w:spacing w:after="0"/>
              <w:rPr>
                <w:sz w:val="16"/>
                <w:szCs w:val="16"/>
                <w:color w:val="auto"/>
              </w:rPr>
            </w:pPr>
          </w:p>
        </w:tc>
        <w:tc>
          <w:tcPr>
            <w:tcW w:w="160" w:type="dxa"/>
            <w:vAlign w:val="bottom"/>
            <w:tcBorders>
              <w:bottom w:val="single" w:sz="8" w:color="auto"/>
            </w:tcBorders>
            <w:shd w:val="clear" w:color="auto" w:fill="D9D9D9"/>
          </w:tcPr>
          <w:p>
            <w:pPr>
              <w:spacing w:after="0"/>
              <w:rPr>
                <w:sz w:val="16"/>
                <w:szCs w:val="16"/>
                <w:color w:val="auto"/>
              </w:rPr>
            </w:pPr>
          </w:p>
        </w:tc>
        <w:tc>
          <w:tcPr>
            <w:tcW w:w="1620" w:type="dxa"/>
            <w:vAlign w:val="bottom"/>
            <w:tcBorders>
              <w:bottom w:val="single" w:sz="8" w:color="auto"/>
            </w:tcBorders>
            <w:gridSpan w:val="4"/>
            <w:shd w:val="clear" w:color="auto" w:fill="D9D9D9"/>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18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shd w:val="clear" w:color="auto" w:fill="D9D9D9"/>
          </w:tcPr>
          <w:p>
            <w:pPr>
              <w:spacing w:after="0"/>
              <w:rPr>
                <w:sz w:val="15"/>
                <w:szCs w:val="15"/>
                <w:color w:val="auto"/>
              </w:rPr>
            </w:pPr>
          </w:p>
        </w:tc>
        <w:tc>
          <w:tcPr>
            <w:tcW w:w="220" w:type="dxa"/>
            <w:vAlign w:val="bottom"/>
            <w:tcBorders>
              <w:bottom w:val="single" w:sz="8" w:color="auto"/>
            </w:tcBorders>
            <w:shd w:val="clear" w:color="auto" w:fill="D9D9D9"/>
          </w:tcPr>
          <w:p>
            <w:pPr>
              <w:spacing w:after="0"/>
              <w:rPr>
                <w:sz w:val="15"/>
                <w:szCs w:val="15"/>
                <w:color w:val="auto"/>
              </w:rPr>
            </w:pPr>
          </w:p>
        </w:tc>
        <w:tc>
          <w:tcPr>
            <w:tcW w:w="200" w:type="dxa"/>
            <w:vAlign w:val="bottom"/>
            <w:tcBorders>
              <w:left w:val="single" w:sz="8" w:color="D9D9D9"/>
              <w:bottom w:val="single" w:sz="8" w:color="auto"/>
            </w:tcBorders>
            <w:shd w:val="clear" w:color="auto" w:fill="D9D9D9"/>
          </w:tcPr>
          <w:p>
            <w:pPr>
              <w:spacing w:after="0"/>
              <w:rPr>
                <w:sz w:val="15"/>
                <w:szCs w:val="15"/>
                <w:color w:val="auto"/>
              </w:rPr>
            </w:pPr>
          </w:p>
        </w:tc>
        <w:tc>
          <w:tcPr>
            <w:tcW w:w="50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gridSpan w:val="4"/>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9D9D9"/>
          </w:tcPr>
          <w:p>
            <w:pPr>
              <w:spacing w:after="0"/>
              <w:rPr>
                <w:sz w:val="15"/>
                <w:szCs w:val="15"/>
                <w:color w:val="auto"/>
              </w:rPr>
            </w:pPr>
          </w:p>
        </w:tc>
        <w:tc>
          <w:tcPr>
            <w:tcW w:w="520" w:type="dxa"/>
            <w:vAlign w:val="bottom"/>
            <w:tcBorders>
              <w:bottom w:val="single" w:sz="8" w:color="auto"/>
            </w:tcBorders>
            <w:gridSpan w:val="4"/>
            <w:shd w:val="clear" w:color="auto" w:fill="D9D9D9"/>
          </w:tcPr>
          <w:p>
            <w:pPr>
              <w:ind w:left="4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9D9D9"/>
          </w:tcPr>
          <w:p>
            <w:pPr>
              <w:spacing w:after="0"/>
              <w:rPr>
                <w:sz w:val="15"/>
                <w:szCs w:val="15"/>
                <w:color w:val="auto"/>
              </w:rPr>
            </w:pPr>
          </w:p>
        </w:tc>
        <w:tc>
          <w:tcPr>
            <w:tcW w:w="440" w:type="dxa"/>
            <w:vAlign w:val="bottom"/>
            <w:tcBorders>
              <w:bottom w:val="single" w:sz="8" w:color="auto"/>
            </w:tcBorders>
            <w:shd w:val="clear" w:color="auto" w:fill="D9D9D9"/>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9D9D9"/>
          </w:tcPr>
          <w:p>
            <w:pPr>
              <w:spacing w:after="0"/>
              <w:rPr>
                <w:sz w:val="15"/>
                <w:szCs w:val="15"/>
                <w:color w:val="auto"/>
              </w:rPr>
            </w:pPr>
          </w:p>
        </w:tc>
        <w:tc>
          <w:tcPr>
            <w:tcW w:w="16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200" w:type="dxa"/>
            <w:vAlign w:val="bottom"/>
            <w:tcBorders>
              <w:bottom w:val="single" w:sz="8" w:color="auto"/>
            </w:tcBorders>
            <w:shd w:val="clear" w:color="auto" w:fill="D9D9D9"/>
          </w:tcPr>
          <w:p>
            <w:pPr>
              <w:spacing w:after="0"/>
              <w:rPr>
                <w:sz w:val="15"/>
                <w:szCs w:val="15"/>
                <w:color w:val="auto"/>
              </w:rPr>
            </w:pPr>
          </w:p>
        </w:tc>
        <w:tc>
          <w:tcPr>
            <w:tcW w:w="360" w:type="dxa"/>
            <w:vAlign w:val="bottom"/>
            <w:tcBorders>
              <w:bottom w:val="single" w:sz="8" w:color="auto"/>
            </w:tcBorders>
            <w:shd w:val="clear" w:color="auto" w:fill="D9D9D9"/>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Q2</w:t>
            </w:r>
          </w:p>
        </w:tc>
        <w:tc>
          <w:tcPr>
            <w:tcW w:w="6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160" w:type="dxa"/>
            <w:vAlign w:val="bottom"/>
            <w:tcBorders>
              <w:bottom w:val="single" w:sz="8" w:color="auto"/>
            </w:tcBorders>
            <w:shd w:val="clear" w:color="auto" w:fill="D9D9D9"/>
          </w:tcPr>
          <w:p>
            <w:pPr>
              <w:spacing w:after="0"/>
              <w:rPr>
                <w:sz w:val="15"/>
                <w:szCs w:val="15"/>
                <w:color w:val="auto"/>
              </w:rPr>
            </w:pPr>
          </w:p>
        </w:tc>
        <w:tc>
          <w:tcPr>
            <w:tcW w:w="540" w:type="dxa"/>
            <w:vAlign w:val="bottom"/>
            <w:tcBorders>
              <w:bottom w:val="single" w:sz="8" w:color="auto"/>
            </w:tcBorders>
            <w:gridSpan w:val="2"/>
            <w:shd w:val="clear" w:color="auto" w:fill="D9D9D9"/>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9D9D9"/>
          </w:tcPr>
          <w:p>
            <w:pPr>
              <w:spacing w:after="0"/>
              <w:rPr>
                <w:sz w:val="15"/>
                <w:szCs w:val="15"/>
                <w:color w:val="auto"/>
              </w:rPr>
            </w:pPr>
          </w:p>
        </w:tc>
        <w:tc>
          <w:tcPr>
            <w:tcW w:w="460" w:type="dxa"/>
            <w:vAlign w:val="bottom"/>
            <w:tcBorders>
              <w:bottom w:val="single" w:sz="8" w:color="auto"/>
            </w:tcBorders>
            <w:shd w:val="clear" w:color="auto" w:fill="D9D9D9"/>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9D9D9"/>
          </w:tcPr>
          <w:p>
            <w:pPr>
              <w:spacing w:after="0"/>
              <w:rPr>
                <w:sz w:val="15"/>
                <w:szCs w:val="15"/>
                <w:color w:val="auto"/>
              </w:rPr>
            </w:pPr>
          </w:p>
        </w:tc>
        <w:tc>
          <w:tcPr>
            <w:tcW w:w="160" w:type="dxa"/>
            <w:vAlign w:val="bottom"/>
            <w:tcBorders>
              <w:bottom w:val="single" w:sz="8" w:color="auto"/>
            </w:tcBorders>
            <w:shd w:val="clear" w:color="auto" w:fill="D9D9D9"/>
          </w:tcPr>
          <w:p>
            <w:pPr>
              <w:spacing w:after="0"/>
              <w:rPr>
                <w:sz w:val="15"/>
                <w:szCs w:val="15"/>
                <w:color w:val="auto"/>
              </w:rPr>
            </w:pPr>
          </w:p>
        </w:tc>
        <w:tc>
          <w:tcPr>
            <w:tcW w:w="700" w:type="dxa"/>
            <w:vAlign w:val="bottom"/>
            <w:tcBorders>
              <w:bottom w:val="single" w:sz="8" w:color="auto"/>
            </w:tcBorders>
            <w:shd w:val="clear" w:color="auto" w:fill="D9D9D9"/>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9D9D9"/>
          </w:tcPr>
          <w:p>
            <w:pPr>
              <w:spacing w:after="0"/>
              <w:rPr>
                <w:sz w:val="15"/>
                <w:szCs w:val="15"/>
                <w:color w:val="auto"/>
              </w:rPr>
            </w:pPr>
          </w:p>
        </w:tc>
        <w:tc>
          <w:tcPr>
            <w:tcW w:w="180" w:type="dxa"/>
            <w:vAlign w:val="bottom"/>
            <w:tcBorders>
              <w:bottom w:val="single" w:sz="8" w:color="auto"/>
            </w:tcBorders>
            <w:shd w:val="clear" w:color="auto" w:fill="D9D9D9"/>
          </w:tcPr>
          <w:p>
            <w:pPr>
              <w:spacing w:after="0"/>
              <w:rPr>
                <w:sz w:val="15"/>
                <w:szCs w:val="15"/>
                <w:color w:val="auto"/>
              </w:rPr>
            </w:pPr>
          </w:p>
        </w:tc>
        <w:tc>
          <w:tcPr>
            <w:tcW w:w="660" w:type="dxa"/>
            <w:vAlign w:val="bottom"/>
            <w:tcBorders>
              <w:bottom w:val="single" w:sz="8" w:color="auto"/>
            </w:tcBorders>
            <w:shd w:val="clear" w:color="auto" w:fill="D9D9D9"/>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debt obligations</w:t>
            </w:r>
          </w:p>
        </w:tc>
        <w:tc>
          <w:tcPr>
            <w:tcW w:w="18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color w:val="auto"/>
              </w:rPr>
              <w:t>205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040" w:type="dxa"/>
            <w:vAlign w:val="bottom"/>
            <w:gridSpan w:val="4"/>
            <w:shd w:val="clear" w:color="auto" w:fill="DBE5F1"/>
          </w:tcPr>
          <w:p>
            <w:pPr>
              <w:ind w:left="20"/>
              <w:spacing w:after="0" w:line="145" w:lineRule="exact"/>
              <w:rPr>
                <w:sz w:val="20"/>
                <w:szCs w:val="20"/>
                <w:color w:val="auto"/>
              </w:rPr>
            </w:pPr>
            <w:r>
              <w:rPr>
                <w:rFonts w:ascii="Times New Roman" w:cs="Times New Roman" w:eastAsia="Times New Roman" w:hAnsi="Times New Roman"/>
                <w:sz w:val="14"/>
                <w:szCs w:val="14"/>
                <w:color w:val="auto"/>
              </w:rPr>
              <w:t>Amortization of deferred financing costs and adjustments on long-</w:t>
            </w:r>
          </w:p>
        </w:tc>
        <w:tc>
          <w:tcPr>
            <w:tcW w:w="4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440" w:type="dxa"/>
            <w:vAlign w:val="bottom"/>
            <w:gridSpan w:val="2"/>
            <w:vMerge w:val="restart"/>
            <w:shd w:val="clear" w:color="auto" w:fill="DBE5F1"/>
          </w:tcPr>
          <w:p>
            <w:pPr>
              <w:jc w:val="right"/>
              <w:ind w:right="40"/>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3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6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term debt</w:t>
            </w:r>
          </w:p>
        </w:tc>
        <w:tc>
          <w:tcPr>
            <w:tcW w:w="144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200" w:type="dxa"/>
            <w:vAlign w:val="bottom"/>
            <w:tcBorders>
              <w:left w:val="single" w:sz="8" w:color="DBE5F1"/>
            </w:tcBorders>
            <w:shd w:val="clear" w:color="auto" w:fill="DBE5F1"/>
          </w:tcPr>
          <w:p>
            <w:pPr>
              <w:spacing w:after="0"/>
              <w:rPr>
                <w:sz w:val="16"/>
                <w:szCs w:val="16"/>
                <w:color w:val="auto"/>
              </w:rPr>
            </w:pPr>
          </w:p>
        </w:tc>
        <w:tc>
          <w:tcPr>
            <w:tcW w:w="4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gridSpan w:val="2"/>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6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vMerge w:val="continue"/>
            <w:shd w:val="clear" w:color="auto" w:fill="DBE5F1"/>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Capitalized interest</w:t>
            </w:r>
          </w:p>
        </w:tc>
        <w:tc>
          <w:tcPr>
            <w:tcW w:w="1440" w:type="dxa"/>
            <w:vAlign w:val="bottom"/>
            <w:tcBorders>
              <w:bottom w:val="single" w:sz="8" w:color="DBE5F1"/>
            </w:tcBorders>
          </w:tcPr>
          <w:p>
            <w:pPr>
              <w:spacing w:after="0"/>
              <w:rPr>
                <w:sz w:val="16"/>
                <w:szCs w:val="16"/>
                <w:color w:val="auto"/>
              </w:rPr>
            </w:pPr>
          </w:p>
        </w:tc>
        <w:tc>
          <w:tcPr>
            <w:tcW w:w="22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color w:val="auto"/>
                <w:w w:val="97"/>
              </w:rPr>
              <w:t>(4)</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3840" w:type="dxa"/>
            <w:vAlign w:val="bottom"/>
            <w:tcBorders>
              <w:bottom w:val="single" w:sz="8" w:color="DBE5F1"/>
            </w:tcBorders>
            <w:gridSpan w:val="3"/>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Interest expense and amortization of deferred financing costs, net</w:t>
            </w:r>
          </w:p>
        </w:tc>
        <w:tc>
          <w:tcPr>
            <w:tcW w:w="200" w:type="dxa"/>
            <w:vAlign w:val="bottom"/>
            <w:tcBorders>
              <w:left w:val="single" w:sz="8" w:color="DBE5F1"/>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gridSpan w:val="2"/>
            <w:shd w:val="clear" w:color="auto" w:fill="DBE5F1"/>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208</w:t>
            </w:r>
          </w:p>
        </w:tc>
        <w:tc>
          <w:tcPr>
            <w:tcW w:w="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217</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c>
          <w:tcPr>
            <w:tcW w:w="80" w:type="dxa"/>
            <w:vAlign w:val="bottom"/>
            <w:tcBorders>
              <w:bottom w:val="single" w:sz="8" w:color="DBE5F1"/>
            </w:tcBorders>
            <w:shd w:val="clear" w:color="auto" w:fill="DBE5F1"/>
          </w:tcPr>
          <w:p>
            <w:pPr>
              <w:spacing w:after="0"/>
              <w:rPr>
                <w:sz w:val="17"/>
                <w:szCs w:val="17"/>
                <w:color w:val="auto"/>
              </w:rPr>
            </w:pPr>
          </w:p>
        </w:tc>
        <w:tc>
          <w:tcPr>
            <w:tcW w:w="2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6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236</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240</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850</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932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Borders>
              <w:top w:val="single" w:sz="8" w:color="DBE5F1"/>
            </w:tcBorders>
          </w:tcPr>
          <w:p>
            <w:pPr>
              <w:spacing w:after="0" w:line="20" w:lineRule="exact"/>
              <w:rPr>
                <w:sz w:val="1"/>
                <w:szCs w:val="1"/>
                <w:color w:val="auto"/>
              </w:rPr>
            </w:pPr>
          </w:p>
        </w:tc>
        <w:tc>
          <w:tcPr>
            <w:tcW w:w="144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4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300" w:type="dxa"/>
            <w:vAlign w:val="bottom"/>
            <w:tcBorders>
              <w:top w:val="single" w:sz="8" w:color="DBE5F1"/>
              <w:bottom w:val="single" w:sz="8" w:color="auto"/>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36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660" w:type="dxa"/>
            <w:vAlign w:val="bottom"/>
            <w:tcBorders>
              <w:top w:val="single" w:sz="8" w:color="DBE5F1"/>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5" w:hanging="285"/>
        <w:spacing w:after="0"/>
        <w:tabs>
          <w:tab w:leader="none" w:pos="28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finance leases and other obligations; assumes no default.</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required principal amortization.</w:t>
      </w:r>
    </w:p>
    <w:p>
      <w:pPr>
        <w:spacing w:after="0" w:line="4" w:lineRule="exact"/>
        <w:rPr>
          <w:rFonts w:ascii="Times New Roman" w:cs="Times New Roman" w:eastAsia="Times New Roman" w:hAnsi="Times New Roman"/>
          <w:sz w:val="13"/>
          <w:szCs w:val="13"/>
          <w:color w:val="auto"/>
        </w:rPr>
      </w:pPr>
    </w:p>
    <w:p>
      <w:pPr>
        <w:jc w:val="both"/>
        <w:ind w:left="285" w:hanging="285"/>
        <w:spacing w:after="0" w:line="242" w:lineRule="auto"/>
        <w:tabs>
          <w:tab w:leader="none" w:pos="28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June 2021, the Company entered into an amendment to the credit agreement governing our 2016 Credit Facility that provided for, among other things, a reduction to the interest rate spread ("Spread") of up to 0.05% if the Company meets specified annual sustainability targets ("Targets") and an increase to the Spread of up to 0.05% if the Company fails to meet specified annual sustainability thresholds ("Thresholds"). In January 2025, the Company submitted the required documentation and received confirmation from its administrative agent that all Targets were met as of December 31, 2024, and, as such, the Spread reduction is maintained for 2025. The weighted average interest rate reflects the reduced Spread.</w:t>
      </w:r>
    </w:p>
    <w:p>
      <w:pPr>
        <w:ind w:left="285" w:hanging="285"/>
        <w:spacing w:after="0"/>
        <w:tabs>
          <w:tab w:leader="none" w:pos="28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Maturities include the Senior Secured Tower Revenue Note 2015-2, which has an anticipated repayment date in 2025.</w:t>
      </w:r>
    </w:p>
    <w:p>
      <w:pPr>
        <w:spacing w:after="0" w:line="4" w:lineRule="exact"/>
        <w:rPr>
          <w:rFonts w:ascii="Times New Roman" w:cs="Times New Roman" w:eastAsia="Times New Roman" w:hAnsi="Times New Roman"/>
          <w:sz w:val="13"/>
          <w:szCs w:val="13"/>
          <w:color w:val="auto"/>
        </w:rPr>
      </w:pPr>
    </w:p>
    <w:p>
      <w:pPr>
        <w:ind w:left="285" w:right="20" w:hanging="285"/>
        <w:spacing w:after="0" w:line="253" w:lineRule="auto"/>
        <w:tabs>
          <w:tab w:leader="none" w:pos="28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incremental interest expense over a 12-month period based on a hypothetical interest rate increase of 25 bps on face value of variable indebtedness outstanding as of December 31, 2024; assumes no debt maturities.</w:t>
      </w:r>
    </w:p>
    <w:p>
      <w:pPr>
        <w:spacing w:after="0" w:line="200" w:lineRule="exact"/>
        <w:rPr>
          <w:sz w:val="20"/>
          <w:szCs w:val="20"/>
          <w:color w:val="auto"/>
        </w:rPr>
      </w:pPr>
    </w:p>
    <w:p>
      <w:pPr>
        <w:spacing w:after="0" w:line="3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65"/>
          </w:cols>
          <w:pgMar w:left="315" w:top="120" w:right="319" w:bottom="1440" w:gutter="0" w:footer="0" w:header="0"/>
        </w:sectPr>
      </w:pPr>
    </w:p>
    <w:bookmarkStart w:id="49" w:name="page50"/>
    <w:bookmarkEnd w:id="49"/>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shd w:val="clear" w:color="auto" w:fill="CCC0DA"/>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TOWERS SEGMENT SUMMARY FINANCIAL HIGHLIGHTS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32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4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40" w:type="dxa"/>
            <w:vAlign w:val="bottom"/>
            <w:tcBorders>
              <w:top w:val="single" w:sz="8" w:color="auto"/>
            </w:tcBorders>
            <w:shd w:val="clear" w:color="auto" w:fill="DBDBDB"/>
          </w:tcPr>
          <w:p>
            <w:pPr>
              <w:spacing w:after="0"/>
              <w:rPr>
                <w:sz w:val="12"/>
                <w:szCs w:val="12"/>
                <w:color w:val="auto"/>
              </w:rPr>
            </w:pPr>
          </w:p>
        </w:tc>
        <w:tc>
          <w:tcPr>
            <w:tcW w:w="74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48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740" w:type="dxa"/>
            <w:vAlign w:val="bottom"/>
            <w:tcBorders>
              <w:top w:val="single" w:sz="8" w:color="auto"/>
            </w:tcBorders>
            <w:gridSpan w:val="3"/>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480" w:type="dxa"/>
            <w:vAlign w:val="bottom"/>
            <w:tcBorders>
              <w:top w:val="single" w:sz="8" w:color="auto"/>
            </w:tcBorders>
            <w:shd w:val="clear" w:color="auto" w:fill="DBDBDB"/>
          </w:tcPr>
          <w:p>
            <w:pPr>
              <w:spacing w:after="0"/>
              <w:rPr>
                <w:sz w:val="12"/>
                <w:szCs w:val="12"/>
                <w:color w:val="auto"/>
              </w:rPr>
            </w:pPr>
          </w:p>
        </w:tc>
        <w:tc>
          <w:tcPr>
            <w:tcW w:w="400" w:type="dxa"/>
            <w:vAlign w:val="bottom"/>
            <w:tcBorders>
              <w:top w:val="single" w:sz="8" w:color="auto"/>
            </w:tcBorders>
            <w:shd w:val="clear" w:color="auto" w:fill="DBDBDB"/>
          </w:tcPr>
          <w:p>
            <w:pPr>
              <w:spacing w:after="0"/>
              <w:rPr>
                <w:sz w:val="12"/>
                <w:szCs w:val="12"/>
                <w:color w:val="auto"/>
              </w:rPr>
            </w:pPr>
          </w:p>
        </w:tc>
        <w:tc>
          <w:tcPr>
            <w:tcW w:w="140" w:type="dxa"/>
            <w:vAlign w:val="bottom"/>
            <w:tcBorders>
              <w:top w:val="single" w:sz="8" w:color="auto"/>
            </w:tcBorders>
            <w:shd w:val="clear" w:color="auto" w:fill="DBDBDB"/>
          </w:tcPr>
          <w:p>
            <w:pPr>
              <w:spacing w:after="0"/>
              <w:rPr>
                <w:sz w:val="12"/>
                <w:szCs w:val="12"/>
                <w:color w:val="auto"/>
              </w:rPr>
            </w:pPr>
          </w:p>
        </w:tc>
        <w:tc>
          <w:tcPr>
            <w:tcW w:w="1620" w:type="dxa"/>
            <w:vAlign w:val="bottom"/>
            <w:tcBorders>
              <w:top w:val="single" w:sz="8" w:color="auto"/>
            </w:tcBorders>
            <w:gridSpan w:val="4"/>
            <w:shd w:val="clear" w:color="auto" w:fill="DBDBDB"/>
          </w:tcPr>
          <w:p>
            <w:pPr>
              <w:jc w:val="right"/>
              <w:ind w:right="14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gridSpan w:val="3"/>
            <w:vMerge w:val="continue"/>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gridSpan w:val="3"/>
            <w:vMerge w:val="continue"/>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gridSpan w:val="4"/>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Q4</w:t>
            </w:r>
          </w:p>
        </w:tc>
        <w:tc>
          <w:tcPr>
            <w:tcW w:w="40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Site rental</w:t>
            </w: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0" w:type="dxa"/>
            <w:vAlign w:val="bottom"/>
          </w:tcPr>
          <w:p>
            <w:pPr>
              <w:spacing w:after="0"/>
              <w:rPr>
                <w:sz w:val="1"/>
                <w:szCs w:val="1"/>
                <w:color w:val="auto"/>
              </w:rPr>
            </w:pPr>
          </w:p>
        </w:tc>
      </w:tr>
      <w:tr>
        <w:trPr>
          <w:trHeight w:val="189"/>
        </w:trPr>
        <w:tc>
          <w:tcPr>
            <w:tcW w:w="332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7"/>
        </w:trPr>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9"/>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4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9"/>
        </w:trPr>
        <w:tc>
          <w:tcPr>
            <w:tcW w:w="33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0" w:type="dxa"/>
            <w:vAlign w:val="bottom"/>
          </w:tcPr>
          <w:p>
            <w:pPr>
              <w:spacing w:after="0"/>
              <w:rPr>
                <w:sz w:val="1"/>
                <w:szCs w:val="1"/>
                <w:color w:val="auto"/>
              </w:rPr>
            </w:pPr>
          </w:p>
        </w:tc>
      </w:tr>
      <w:tr>
        <w:trPr>
          <w:trHeight w:val="239"/>
        </w:trPr>
        <w:tc>
          <w:tcPr>
            <w:tcW w:w="332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4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140" w:type="dxa"/>
            <w:vAlign w:val="bottom"/>
            <w:shd w:val="clear" w:color="auto" w:fill="DBE5F1"/>
          </w:tcPr>
          <w:p>
            <w:pPr>
              <w:spacing w:after="0"/>
              <w:rPr>
                <w:sz w:val="20"/>
                <w:szCs w:val="20"/>
                <w:color w:val="auto"/>
              </w:rPr>
            </w:pPr>
          </w:p>
        </w:tc>
        <w:tc>
          <w:tcPr>
            <w:tcW w:w="7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66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20"/>
              <w:spacing w:after="0" w:line="192" w:lineRule="exact"/>
              <w:rPr>
                <w:sz w:val="20"/>
                <w:szCs w:val="20"/>
                <w:color w:val="auto"/>
              </w:rPr>
            </w:pPr>
            <w:r>
              <w:rPr>
                <w:rFonts w:ascii="Times New Roman" w:cs="Times New Roman" w:eastAsia="Times New Roman" w:hAnsi="Times New Roman"/>
                <w:sz w:val="14"/>
                <w:szCs w:val="14"/>
                <w:color w:val="auto"/>
              </w:rPr>
              <w:t>Costs of operations</w:t>
            </w:r>
            <w:r>
              <w:rPr>
                <w:rFonts w:ascii="Times New Roman" w:cs="Times New Roman" w:eastAsia="Times New Roman" w:hAnsi="Times New Roman"/>
                <w:sz w:val="18"/>
                <w:szCs w:val="18"/>
                <w:color w:val="auto"/>
                <w:vertAlign w:val="superscript"/>
              </w:rPr>
              <w:t>(b)</w:t>
            </w: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4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Site rental exclusive of straight-lined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Straight-lined expenses</w:t>
            </w: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9"/>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9"/>
        </w:trPr>
        <w:tc>
          <w:tcPr>
            <w:tcW w:w="33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costs of operations</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480"/>
              <w:spacing w:after="0" w:line="192" w:lineRule="exact"/>
              <w:rPr>
                <w:sz w:val="20"/>
                <w:szCs w:val="20"/>
                <w:color w:val="auto"/>
              </w:rPr>
            </w:pPr>
            <w:r>
              <w:rPr>
                <w:rFonts w:ascii="Times New Roman" w:cs="Times New Roman" w:eastAsia="Times New Roman" w:hAnsi="Times New Roman"/>
                <w:sz w:val="14"/>
                <w:szCs w:val="14"/>
                <w:color w:val="auto"/>
              </w:rPr>
              <w:t>Selling, general and administrative</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tcBorders>
              <w:bottom w:val="single" w:sz="8" w:color="DBE5F1"/>
            </w:tcBorders>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4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0" w:type="dxa"/>
            <w:vAlign w:val="bottom"/>
          </w:tcPr>
          <w:p>
            <w:pPr>
              <w:spacing w:after="0"/>
              <w:rPr>
                <w:sz w:val="1"/>
                <w:szCs w:val="1"/>
                <w:color w:val="auto"/>
              </w:rPr>
            </w:pPr>
          </w:p>
        </w:tc>
      </w:tr>
      <w:tr>
        <w:trPr>
          <w:trHeight w:val="20"/>
        </w:trPr>
        <w:tc>
          <w:tcPr>
            <w:tcW w:w="332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4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66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85" w:hanging="285"/>
        <w:spacing w:after="0"/>
        <w:tabs>
          <w:tab w:leader="none" w:pos="28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 of site rental billings.</w:t>
      </w:r>
    </w:p>
    <w:p>
      <w:pPr>
        <w:spacing w:after="0" w:line="8"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(1) depreciation, amortization and accretion, (2) stock-based compensation expense, net and (3) prepaid lease purchase price adjustments. 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w:t>
      </w:r>
    </w:p>
    <w:p>
      <w:pPr>
        <w:ind w:left="285" w:hanging="285"/>
        <w:spacing w:after="0"/>
        <w:tabs>
          <w:tab w:leader="none" w:pos="28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stock-based compensation expense, net. 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 on, and our definition and calculation of, segment operating profit (loss).</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65"/>
          </w:cols>
          <w:pgMar w:left="315" w:top="120" w:right="319" w:bottom="1440" w:gutter="0" w:footer="0" w:header="0"/>
        </w:sectPr>
      </w:pPr>
    </w:p>
    <w:bookmarkStart w:id="50" w:name="page51"/>
    <w:bookmarkEnd w:id="50"/>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shd w:val="clear" w:color="auto" w:fill="CCC0DA"/>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TOWERS SEGMENT COMPONENTS OF CHANGES IN SITE RENTAL REVENUES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2580" w:type="dxa"/>
            <w:vAlign w:val="bottom"/>
            <w:tcBorders>
              <w:top w:val="single" w:sz="8" w:color="auto"/>
            </w:tcBorders>
            <w:shd w:val="clear" w:color="auto" w:fill="DBDBDB"/>
          </w:tcPr>
          <w:p>
            <w:pPr>
              <w:spacing w:after="0"/>
              <w:rPr>
                <w:sz w:val="12"/>
                <w:szCs w:val="12"/>
                <w:color w:val="auto"/>
              </w:rPr>
            </w:pPr>
          </w:p>
        </w:tc>
        <w:tc>
          <w:tcPr>
            <w:tcW w:w="24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760" w:type="dxa"/>
            <w:vAlign w:val="bottom"/>
            <w:tcBorders>
              <w:top w:val="single" w:sz="8" w:color="auto"/>
            </w:tcBorders>
            <w:gridSpan w:val="5"/>
            <w:vMerge w:val="restart"/>
            <w:shd w:val="clear" w:color="auto" w:fill="DBDBDB"/>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shd w:val="clear" w:color="auto" w:fill="DBDBDB"/>
          </w:tcPr>
          <w:p>
            <w:pPr>
              <w:spacing w:after="0"/>
              <w:rPr>
                <w:sz w:val="12"/>
                <w:szCs w:val="12"/>
                <w:color w:val="auto"/>
              </w:rPr>
            </w:pPr>
          </w:p>
        </w:tc>
        <w:tc>
          <w:tcPr>
            <w:tcW w:w="60" w:type="dxa"/>
            <w:vAlign w:val="bottom"/>
            <w:tcBorders>
              <w:top w:val="single" w:sz="8" w:color="auto"/>
            </w:tcBorders>
            <w:shd w:val="clear" w:color="auto" w:fill="DBDBDB"/>
          </w:tcPr>
          <w:p>
            <w:pPr>
              <w:spacing w:after="0"/>
              <w:rPr>
                <w:sz w:val="12"/>
                <w:szCs w:val="12"/>
                <w:color w:val="auto"/>
              </w:rPr>
            </w:pPr>
          </w:p>
        </w:tc>
        <w:tc>
          <w:tcPr>
            <w:tcW w:w="40" w:type="dxa"/>
            <w:vAlign w:val="bottom"/>
            <w:tcBorders>
              <w:top w:val="single" w:sz="8" w:color="auto"/>
            </w:tcBorders>
            <w:shd w:val="clear" w:color="auto" w:fill="DBDBDB"/>
          </w:tcPr>
          <w:p>
            <w:pPr>
              <w:spacing w:after="0"/>
              <w:rPr>
                <w:sz w:val="12"/>
                <w:szCs w:val="12"/>
                <w:color w:val="auto"/>
              </w:rPr>
            </w:pPr>
          </w:p>
        </w:tc>
        <w:tc>
          <w:tcPr>
            <w:tcW w:w="60" w:type="dxa"/>
            <w:vAlign w:val="bottom"/>
            <w:tcBorders>
              <w:top w:val="single" w:sz="8" w:color="auto"/>
            </w:tcBorders>
            <w:shd w:val="clear" w:color="auto" w:fill="DBDBDB"/>
          </w:tcPr>
          <w:p>
            <w:pPr>
              <w:spacing w:after="0"/>
              <w:rPr>
                <w:sz w:val="12"/>
                <w:szCs w:val="12"/>
                <w:color w:val="auto"/>
              </w:rPr>
            </w:pPr>
          </w:p>
        </w:tc>
        <w:tc>
          <w:tcPr>
            <w:tcW w:w="120" w:type="dxa"/>
            <w:vAlign w:val="bottom"/>
            <w:tcBorders>
              <w:top w:val="single" w:sz="8" w:color="auto"/>
            </w:tcBorders>
            <w:shd w:val="clear" w:color="auto" w:fill="DBDBDB"/>
          </w:tcPr>
          <w:p>
            <w:pPr>
              <w:spacing w:after="0"/>
              <w:rPr>
                <w:sz w:val="12"/>
                <w:szCs w:val="12"/>
                <w:color w:val="auto"/>
              </w:rPr>
            </w:pPr>
          </w:p>
        </w:tc>
        <w:tc>
          <w:tcPr>
            <w:tcW w:w="4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320" w:type="dxa"/>
            <w:vAlign w:val="bottom"/>
            <w:tcBorders>
              <w:top w:val="single" w:sz="8" w:color="auto"/>
            </w:tcBorders>
            <w:shd w:val="clear" w:color="auto" w:fill="DBDBDB"/>
          </w:tcPr>
          <w:p>
            <w:pPr>
              <w:spacing w:after="0"/>
              <w:rPr>
                <w:sz w:val="12"/>
                <w:szCs w:val="12"/>
                <w:color w:val="auto"/>
              </w:rPr>
            </w:pPr>
          </w:p>
        </w:tc>
        <w:tc>
          <w:tcPr>
            <w:tcW w:w="1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240" w:type="dxa"/>
            <w:vAlign w:val="bottom"/>
            <w:tcBorders>
              <w:top w:val="single" w:sz="8" w:color="auto"/>
            </w:tcBorders>
            <w:shd w:val="clear" w:color="auto" w:fill="DBDBDB"/>
          </w:tcPr>
          <w:p>
            <w:pPr>
              <w:spacing w:after="0"/>
              <w:rPr>
                <w:sz w:val="12"/>
                <w:szCs w:val="12"/>
                <w:color w:val="auto"/>
              </w:rPr>
            </w:pPr>
          </w:p>
        </w:tc>
        <w:tc>
          <w:tcPr>
            <w:tcW w:w="800" w:type="dxa"/>
            <w:vAlign w:val="bottom"/>
            <w:tcBorders>
              <w:top w:val="single" w:sz="8" w:color="auto"/>
            </w:tcBorders>
            <w:gridSpan w:val="5"/>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4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2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1680" w:type="dxa"/>
            <w:vAlign w:val="bottom"/>
            <w:tcBorders>
              <w:top w:val="single" w:sz="8" w:color="auto"/>
            </w:tcBorders>
            <w:gridSpan w:val="6"/>
            <w:shd w:val="clear" w:color="auto" w:fill="DBDBDB"/>
          </w:tcPr>
          <w:p>
            <w:pPr>
              <w:jc w:val="center"/>
              <w:ind w:right="12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gridSpan w:val="5"/>
            <w:vMerge w:val="continue"/>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gridSpan w:val="5"/>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680" w:type="dxa"/>
            <w:vAlign w:val="bottom"/>
            <w:tcBorders>
              <w:bottom w:val="single" w:sz="8" w:color="auto"/>
            </w:tcBorders>
            <w:gridSpan w:val="6"/>
            <w:shd w:val="clear" w:color="auto" w:fill="DBDBDB"/>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2580" w:type="dxa"/>
            <w:vAlign w:val="bottom"/>
            <w:shd w:val="clear" w:color="auto" w:fill="DBDBDB"/>
          </w:tcPr>
          <w:p>
            <w:pPr>
              <w:ind w:left="20"/>
              <w:spacing w:after="0" w:line="125" w:lineRule="exact"/>
              <w:rPr>
                <w:sz w:val="20"/>
                <w:szCs w:val="20"/>
                <w:color w:val="auto"/>
              </w:rPr>
            </w:pPr>
            <w:r>
              <w:rPr>
                <w:rFonts w:ascii="Times New Roman" w:cs="Times New Roman" w:eastAsia="Times New Roman" w:hAnsi="Times New Roman"/>
                <w:sz w:val="14"/>
                <w:szCs w:val="14"/>
                <w:i w:val="1"/>
                <w:iCs w:val="1"/>
                <w:color w:val="auto"/>
              </w:rPr>
              <w:t>(dollars in millions; totals may not sum due</w:t>
            </w:r>
          </w:p>
        </w:tc>
        <w:tc>
          <w:tcPr>
            <w:tcW w:w="240" w:type="dxa"/>
            <w:vAlign w:val="bottom"/>
            <w:shd w:val="clear" w:color="auto" w:fill="DBDBDB"/>
          </w:tcPr>
          <w:p>
            <w:pPr>
              <w:spacing w:after="0"/>
              <w:rPr>
                <w:sz w:val="10"/>
                <w:szCs w:val="10"/>
                <w:color w:val="auto"/>
              </w:rPr>
            </w:pPr>
          </w:p>
        </w:tc>
        <w:tc>
          <w:tcPr>
            <w:tcW w:w="600" w:type="dxa"/>
            <w:vAlign w:val="bottom"/>
            <w:gridSpan w:val="2"/>
            <w:vMerge w:val="restart"/>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60" w:type="dxa"/>
            <w:vAlign w:val="bottom"/>
            <w:gridSpan w:val="3"/>
            <w:vMerge w:val="restart"/>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auto"/>
              </w:rPr>
              <w:t>Q2</w:t>
            </w:r>
          </w:p>
        </w:tc>
        <w:tc>
          <w:tcPr>
            <w:tcW w:w="60" w:type="dxa"/>
            <w:vAlign w:val="bottom"/>
            <w:shd w:val="clear" w:color="auto" w:fill="DBDBDB"/>
          </w:tcPr>
          <w:p>
            <w:pPr>
              <w:spacing w:after="0"/>
              <w:rPr>
                <w:sz w:val="10"/>
                <w:szCs w:val="10"/>
                <w:color w:val="auto"/>
              </w:rPr>
            </w:pPr>
          </w:p>
        </w:tc>
        <w:tc>
          <w:tcPr>
            <w:tcW w:w="140" w:type="dxa"/>
            <w:vAlign w:val="bottom"/>
            <w:shd w:val="clear" w:color="auto" w:fill="DBDBDB"/>
          </w:tcPr>
          <w:p>
            <w:pPr>
              <w:spacing w:after="0"/>
              <w:rPr>
                <w:sz w:val="10"/>
                <w:szCs w:val="10"/>
                <w:color w:val="auto"/>
              </w:rPr>
            </w:pPr>
          </w:p>
        </w:tc>
        <w:tc>
          <w:tcPr>
            <w:tcW w:w="540" w:type="dxa"/>
            <w:vAlign w:val="bottom"/>
            <w:gridSpan w:val="2"/>
            <w:vMerge w:val="restart"/>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Q3</w:t>
            </w:r>
          </w:p>
        </w:tc>
        <w:tc>
          <w:tcPr>
            <w:tcW w:w="4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40" w:type="dxa"/>
            <w:vAlign w:val="bottom"/>
            <w:gridSpan w:val="2"/>
            <w:vMerge w:val="restart"/>
            <w:shd w:val="clear" w:color="auto" w:fill="DBDBDB"/>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760" w:type="dxa"/>
            <w:vAlign w:val="bottom"/>
            <w:gridSpan w:val="4"/>
            <w:vMerge w:val="restart"/>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shd w:val="clear" w:color="auto" w:fill="DBDBDB"/>
          </w:tcPr>
          <w:p>
            <w:pPr>
              <w:spacing w:after="0"/>
              <w:rPr>
                <w:sz w:val="10"/>
                <w:szCs w:val="10"/>
                <w:color w:val="auto"/>
              </w:rPr>
            </w:pPr>
          </w:p>
        </w:tc>
        <w:tc>
          <w:tcPr>
            <w:tcW w:w="240" w:type="dxa"/>
            <w:vAlign w:val="bottom"/>
            <w:shd w:val="clear" w:color="auto" w:fill="DBDBDB"/>
          </w:tcPr>
          <w:p>
            <w:pPr>
              <w:spacing w:after="0"/>
              <w:rPr>
                <w:sz w:val="10"/>
                <w:szCs w:val="10"/>
                <w:color w:val="auto"/>
              </w:rPr>
            </w:pPr>
          </w:p>
        </w:tc>
        <w:tc>
          <w:tcPr>
            <w:tcW w:w="520" w:type="dxa"/>
            <w:vAlign w:val="bottom"/>
            <w:gridSpan w:val="3"/>
            <w:vMerge w:val="restart"/>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gridSpan w:val="3"/>
            <w:vMerge w:val="restart"/>
            <w:shd w:val="clear" w:color="auto" w:fill="DBDBDB"/>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Q3</w:t>
            </w:r>
          </w:p>
        </w:tc>
        <w:tc>
          <w:tcPr>
            <w:tcW w:w="60" w:type="dxa"/>
            <w:vAlign w:val="bottom"/>
            <w:shd w:val="clear" w:color="auto" w:fill="DBDBDB"/>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600" w:type="dxa"/>
            <w:vAlign w:val="bottom"/>
            <w:gridSpan w:val="3"/>
            <w:vMerge w:val="restart"/>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Q4</w:t>
            </w:r>
          </w:p>
        </w:tc>
        <w:tc>
          <w:tcPr>
            <w:tcW w:w="2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700" w:type="dxa"/>
            <w:vAlign w:val="bottom"/>
            <w:vMerge w:val="restart"/>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shd w:val="clear" w:color="auto" w:fill="DBDBDB"/>
          </w:tcPr>
          <w:p>
            <w:pPr>
              <w:spacing w:after="0"/>
              <w:rPr>
                <w:sz w:val="10"/>
                <w:szCs w:val="10"/>
                <w:color w:val="auto"/>
              </w:rPr>
            </w:pPr>
          </w:p>
        </w:tc>
        <w:tc>
          <w:tcPr>
            <w:tcW w:w="60" w:type="dxa"/>
            <w:vAlign w:val="bottom"/>
            <w:shd w:val="clear" w:color="auto" w:fill="DBDBDB"/>
          </w:tcPr>
          <w:p>
            <w:pPr>
              <w:spacing w:after="0"/>
              <w:rPr>
                <w:sz w:val="10"/>
                <w:szCs w:val="10"/>
                <w:color w:val="auto"/>
              </w:rPr>
            </w:pPr>
          </w:p>
        </w:tc>
        <w:tc>
          <w:tcPr>
            <w:tcW w:w="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700" w:type="dxa"/>
            <w:vAlign w:val="bottom"/>
            <w:vMerge w:val="restart"/>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25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to rounding)</w:t>
            </w:r>
          </w:p>
        </w:tc>
        <w:tc>
          <w:tcPr>
            <w:tcW w:w="24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gridSpan w:val="3"/>
            <w:vMerge w:val="continue"/>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gridSpan w:val="2"/>
            <w:vMerge w:val="continue"/>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gridSpan w:val="2"/>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gridSpan w:val="4"/>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gridSpan w:val="3"/>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gridSpan w:val="3"/>
            <w:vMerge w:val="continue"/>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gridSpan w:val="3"/>
            <w:vMerge w:val="continue"/>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vMerge w:val="continue"/>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Components of changes in site rental</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240" w:type="dxa"/>
            <w:vAlign w:val="bottom"/>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DBE5F1"/>
          </w:tcPr>
          <w:p>
            <w:pPr>
              <w:spacing w:after="0"/>
              <w:rPr>
                <w:sz w:val="16"/>
                <w:szCs w:val="16"/>
                <w:color w:val="auto"/>
              </w:rPr>
            </w:pPr>
          </w:p>
        </w:tc>
        <w:tc>
          <w:tcPr>
            <w:tcW w:w="4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874</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20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60" w:type="dxa"/>
            <w:vAlign w:val="bottom"/>
            <w:shd w:val="clear" w:color="auto" w:fill="DBE5F1"/>
          </w:tcPr>
          <w:p>
            <w:pPr>
              <w:spacing w:after="0"/>
              <w:rPr>
                <w:sz w:val="16"/>
                <w:szCs w:val="16"/>
                <w:color w:val="auto"/>
              </w:rPr>
            </w:pPr>
          </w:p>
        </w:tc>
        <w:tc>
          <w:tcPr>
            <w:tcW w:w="22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923</w:t>
            </w:r>
          </w:p>
        </w:tc>
        <w:tc>
          <w:tcPr>
            <w:tcW w:w="340" w:type="dxa"/>
            <w:vAlign w:val="bottom"/>
            <w:gridSpan w:val="2"/>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922</w:t>
            </w:r>
          </w:p>
        </w:tc>
        <w:tc>
          <w:tcPr>
            <w:tcW w:w="28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shd w:val="clear" w:color="auto" w:fill="DBE5F1"/>
          </w:tcPr>
          <w:p>
            <w:pPr>
              <w:spacing w:after="0"/>
              <w:rPr>
                <w:sz w:val="16"/>
                <w:szCs w:val="16"/>
                <w:color w:val="auto"/>
              </w:rPr>
            </w:pPr>
          </w:p>
        </w:tc>
        <w:tc>
          <w:tcPr>
            <w:tcW w:w="14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966</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3,579</w:t>
            </w: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3,763</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24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132</w:t>
            </w: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24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2"/>
        </w:trPr>
        <w:tc>
          <w:tcPr>
            <w:tcW w:w="25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24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DBE5F1"/>
            </w:tcBorders>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DBE5F1"/>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2"/>
        </w:trPr>
        <w:tc>
          <w:tcPr>
            <w:tcW w:w="2580" w:type="dxa"/>
            <w:vAlign w:val="bottom"/>
            <w:shd w:val="clear" w:color="auto" w:fill="DBE5F1"/>
          </w:tcPr>
          <w:p>
            <w:pPr>
              <w:ind w:left="16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w:t>
            </w:r>
          </w:p>
        </w:tc>
        <w:tc>
          <w:tcPr>
            <w:tcW w:w="240" w:type="dxa"/>
            <w:vAlign w:val="bottom"/>
            <w:shd w:val="clear" w:color="auto" w:fill="DBE5F1"/>
          </w:tcPr>
          <w:p>
            <w:pPr>
              <w:spacing w:after="0"/>
              <w:rPr>
                <w:sz w:val="10"/>
                <w:szCs w:val="10"/>
                <w:color w:val="auto"/>
              </w:rPr>
            </w:pPr>
          </w:p>
        </w:tc>
        <w:tc>
          <w:tcPr>
            <w:tcW w:w="5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46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shd w:val="clear" w:color="auto" w:fill="DBE5F1"/>
          </w:tcPr>
          <w:p>
            <w:pPr>
              <w:spacing w:after="0"/>
              <w:rPr>
                <w:sz w:val="10"/>
                <w:szCs w:val="10"/>
                <w:color w:val="auto"/>
              </w:rPr>
            </w:pPr>
          </w:p>
        </w:tc>
        <w:tc>
          <w:tcPr>
            <w:tcW w:w="40" w:type="dxa"/>
            <w:vAlign w:val="bottom"/>
            <w:shd w:val="clear" w:color="auto" w:fill="DBE5F1"/>
          </w:tcPr>
          <w:p>
            <w:pPr>
              <w:spacing w:after="0"/>
              <w:rPr>
                <w:sz w:val="10"/>
                <w:szCs w:val="10"/>
                <w:color w:val="auto"/>
              </w:rPr>
            </w:pPr>
          </w:p>
        </w:tc>
        <w:tc>
          <w:tcPr>
            <w:tcW w:w="60" w:type="dxa"/>
            <w:vAlign w:val="bottom"/>
            <w:shd w:val="clear" w:color="auto" w:fill="DBE5F1"/>
          </w:tcPr>
          <w:p>
            <w:pPr>
              <w:spacing w:after="0"/>
              <w:rPr>
                <w:sz w:val="10"/>
                <w:szCs w:val="10"/>
                <w:color w:val="auto"/>
              </w:rPr>
            </w:pPr>
          </w:p>
        </w:tc>
        <w:tc>
          <w:tcPr>
            <w:tcW w:w="140" w:type="dxa"/>
            <w:vAlign w:val="bottom"/>
            <w:shd w:val="clear" w:color="auto" w:fill="DBE5F1"/>
          </w:tcPr>
          <w:p>
            <w:pPr>
              <w:spacing w:after="0"/>
              <w:rPr>
                <w:sz w:val="10"/>
                <w:szCs w:val="10"/>
                <w:color w:val="auto"/>
              </w:rPr>
            </w:pPr>
          </w:p>
        </w:tc>
        <w:tc>
          <w:tcPr>
            <w:tcW w:w="4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DBE5F1"/>
          </w:tcPr>
          <w:p>
            <w:pPr>
              <w:spacing w:after="0"/>
              <w:rPr>
                <w:sz w:val="10"/>
                <w:szCs w:val="10"/>
                <w:color w:val="auto"/>
              </w:rPr>
            </w:pPr>
          </w:p>
        </w:tc>
        <w:tc>
          <w:tcPr>
            <w:tcW w:w="40" w:type="dxa"/>
            <w:vAlign w:val="bottom"/>
            <w:shd w:val="clear" w:color="auto" w:fill="DBE5F1"/>
          </w:tcPr>
          <w:p>
            <w:pPr>
              <w:spacing w:after="0"/>
              <w:rPr>
                <w:sz w:val="10"/>
                <w:szCs w:val="10"/>
                <w:color w:val="auto"/>
              </w:rPr>
            </w:pPr>
          </w:p>
        </w:tc>
        <w:tc>
          <w:tcPr>
            <w:tcW w:w="60" w:type="dxa"/>
            <w:vAlign w:val="bottom"/>
            <w:shd w:val="clear" w:color="auto" w:fill="DBE5F1"/>
          </w:tcPr>
          <w:p>
            <w:pPr>
              <w:spacing w:after="0"/>
              <w:rPr>
                <w:sz w:val="10"/>
                <w:szCs w:val="10"/>
                <w:color w:val="auto"/>
              </w:rPr>
            </w:pPr>
          </w:p>
        </w:tc>
        <w:tc>
          <w:tcPr>
            <w:tcW w:w="120" w:type="dxa"/>
            <w:vAlign w:val="bottom"/>
            <w:shd w:val="clear" w:color="auto" w:fill="DBE5F1"/>
          </w:tcPr>
          <w:p>
            <w:pPr>
              <w:spacing w:after="0"/>
              <w:rPr>
                <w:sz w:val="10"/>
                <w:szCs w:val="10"/>
                <w:color w:val="auto"/>
              </w:rPr>
            </w:pPr>
          </w:p>
        </w:tc>
        <w:tc>
          <w:tcPr>
            <w:tcW w:w="54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320" w:type="dxa"/>
            <w:vAlign w:val="bottom"/>
            <w:shd w:val="clear" w:color="auto" w:fill="DBE5F1"/>
          </w:tcPr>
          <w:p>
            <w:pPr>
              <w:spacing w:after="0"/>
              <w:rPr>
                <w:sz w:val="10"/>
                <w:szCs w:val="10"/>
                <w:color w:val="auto"/>
              </w:rPr>
            </w:pPr>
          </w:p>
        </w:tc>
        <w:tc>
          <w:tcPr>
            <w:tcW w:w="44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52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40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DBE5F1"/>
          </w:tcPr>
          <w:p>
            <w:pPr>
              <w:spacing w:after="0"/>
              <w:rPr>
                <w:sz w:val="10"/>
                <w:szCs w:val="10"/>
                <w:color w:val="auto"/>
              </w:rPr>
            </w:pPr>
          </w:p>
        </w:tc>
        <w:tc>
          <w:tcPr>
            <w:tcW w:w="6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120" w:type="dxa"/>
            <w:vAlign w:val="bottom"/>
            <w:shd w:val="clear" w:color="auto" w:fill="DBE5F1"/>
          </w:tcPr>
          <w:p>
            <w:pPr>
              <w:spacing w:after="0"/>
              <w:rPr>
                <w:sz w:val="10"/>
                <w:szCs w:val="10"/>
                <w:color w:val="auto"/>
              </w:rPr>
            </w:pPr>
          </w:p>
        </w:tc>
        <w:tc>
          <w:tcPr>
            <w:tcW w:w="5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2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7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shd w:val="clear" w:color="auto" w:fill="DBE5F1"/>
          </w:tcPr>
          <w:p>
            <w:pPr>
              <w:spacing w:after="0"/>
              <w:rPr>
                <w:sz w:val="10"/>
                <w:szCs w:val="10"/>
                <w:color w:val="auto"/>
              </w:rPr>
            </w:pPr>
          </w:p>
        </w:tc>
        <w:tc>
          <w:tcPr>
            <w:tcW w:w="60" w:type="dxa"/>
            <w:vAlign w:val="bottom"/>
            <w:shd w:val="clear" w:color="auto" w:fill="DBE5F1"/>
          </w:tcPr>
          <w:p>
            <w:pPr>
              <w:spacing w:after="0"/>
              <w:rPr>
                <w:sz w:val="10"/>
                <w:szCs w:val="10"/>
                <w:color w:val="auto"/>
              </w:rPr>
            </w:pPr>
          </w:p>
        </w:tc>
        <w:tc>
          <w:tcPr>
            <w:tcW w:w="2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70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89"/>
        </w:trPr>
        <w:tc>
          <w:tcPr>
            <w:tcW w:w="2580" w:type="dxa"/>
            <w:vAlign w:val="bottom"/>
            <w:shd w:val="clear" w:color="auto" w:fill="DBE5F1"/>
          </w:tcPr>
          <w:p>
            <w:pPr>
              <w:ind w:left="300"/>
              <w:spacing w:after="0" w:line="189" w:lineRule="exact"/>
              <w:rPr>
                <w:sz w:val="20"/>
                <w:szCs w:val="20"/>
                <w:color w:val="auto"/>
              </w:rPr>
            </w:pPr>
            <w:r>
              <w:rPr>
                <w:rFonts w:ascii="Times New Roman" w:cs="Times New Roman" w:eastAsia="Times New Roman" w:hAnsi="Times New Roman"/>
                <w:sz w:val="14"/>
                <w:szCs w:val="14"/>
                <w:color w:val="auto"/>
              </w:rPr>
              <w:t>Billings</w:t>
            </w:r>
            <w:r>
              <w:rPr>
                <w:rFonts w:ascii="Times New Roman" w:cs="Times New Roman" w:eastAsia="Times New Roman" w:hAnsi="Times New Roman"/>
                <w:sz w:val="18"/>
                <w:szCs w:val="18"/>
                <w:color w:val="auto"/>
                <w:vertAlign w:val="superscript"/>
              </w:rPr>
              <w:t>(a)</w:t>
            </w:r>
          </w:p>
        </w:tc>
        <w:tc>
          <w:tcPr>
            <w:tcW w:w="24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40" w:type="dxa"/>
            <w:vAlign w:val="bottom"/>
            <w:gridSpan w:val="2"/>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24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2"/>
        </w:trPr>
        <w:tc>
          <w:tcPr>
            <w:tcW w:w="25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24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257</w:t>
            </w: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24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2"/>
        </w:trPr>
        <w:tc>
          <w:tcPr>
            <w:tcW w:w="258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(b)</w:t>
            </w:r>
          </w:p>
        </w:tc>
        <w:tc>
          <w:tcPr>
            <w:tcW w:w="24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2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8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600" w:type="dxa"/>
            <w:vAlign w:val="bottom"/>
            <w:gridSpan w:val="3"/>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1,080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6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4,313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4,266</w:t>
            </w:r>
          </w:p>
        </w:tc>
        <w:tc>
          <w:tcPr>
            <w:tcW w:w="0" w:type="dxa"/>
            <w:vAlign w:val="bottom"/>
          </w:tcPr>
          <w:p>
            <w:pPr>
              <w:spacing w:after="0"/>
              <w:rPr>
                <w:sz w:val="1"/>
                <w:szCs w:val="1"/>
                <w:color w:val="auto"/>
              </w:rPr>
            </w:pPr>
          </w:p>
        </w:tc>
      </w:tr>
      <w:tr>
        <w:trPr>
          <w:trHeight w:val="20"/>
        </w:trPr>
        <w:tc>
          <w:tcPr>
            <w:tcW w:w="2580" w:type="dxa"/>
            <w:vAlign w:val="bottom"/>
            <w:tcBorders>
              <w:bottom w:val="single" w:sz="8" w:color="DBE5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BE5F1"/>
            </w:tcBorders>
          </w:tcPr>
          <w:p>
            <w:pPr>
              <w:spacing w:after="0" w:line="20" w:lineRule="exact"/>
              <w:rPr>
                <w:sz w:val="1"/>
                <w:szCs w:val="1"/>
                <w:color w:val="auto"/>
              </w:rPr>
            </w:pPr>
          </w:p>
        </w:tc>
        <w:tc>
          <w:tcPr>
            <w:tcW w:w="40" w:type="dxa"/>
            <w:vAlign w:val="bottom"/>
            <w:tcBorders>
              <w:bottom w:val="single" w:sz="8" w:color="DBE5F1"/>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BE5F1"/>
            </w:tcBorders>
          </w:tcPr>
          <w:p>
            <w:pPr>
              <w:spacing w:after="0" w:line="20" w:lineRule="exact"/>
              <w:rPr>
                <w:sz w:val="1"/>
                <w:szCs w:val="1"/>
                <w:color w:val="auto"/>
              </w:rPr>
            </w:pPr>
          </w:p>
        </w:tc>
        <w:tc>
          <w:tcPr>
            <w:tcW w:w="60" w:type="dxa"/>
            <w:vAlign w:val="bottom"/>
            <w:tcBorders>
              <w:bottom w:val="single" w:sz="8" w:color="DBE5F1"/>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BE5F1"/>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BE5F1"/>
            </w:tcBorders>
          </w:tcPr>
          <w:p>
            <w:pPr>
              <w:spacing w:after="0" w:line="20" w:lineRule="exact"/>
              <w:rPr>
                <w:sz w:val="1"/>
                <w:szCs w:val="1"/>
                <w:color w:val="auto"/>
              </w:rPr>
            </w:pPr>
          </w:p>
        </w:tc>
        <w:tc>
          <w:tcPr>
            <w:tcW w:w="60" w:type="dxa"/>
            <w:vAlign w:val="bottom"/>
            <w:tcBorders>
              <w:bottom w:val="single" w:sz="8" w:color="DBE5F1"/>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58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46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4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140" w:type="dxa"/>
            <w:vAlign w:val="bottom"/>
            <w:shd w:val="clear" w:color="auto" w:fill="DBE5F1"/>
          </w:tcPr>
          <w:p>
            <w:pPr>
              <w:spacing w:after="0"/>
              <w:rPr>
                <w:sz w:val="13"/>
                <w:szCs w:val="13"/>
                <w:color w:val="auto"/>
              </w:rPr>
            </w:pPr>
          </w:p>
        </w:tc>
        <w:tc>
          <w:tcPr>
            <w:tcW w:w="48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4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4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32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3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4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700" w:type="dxa"/>
            <w:vAlign w:val="bottom"/>
            <w:shd w:val="clear" w:color="auto" w:fill="DBE5F1"/>
          </w:tcPr>
          <w:p>
            <w:pPr>
              <w:spacing w:after="0"/>
              <w:rPr>
                <w:sz w:val="13"/>
                <w:szCs w:val="13"/>
                <w:color w:val="auto"/>
              </w:rPr>
            </w:pPr>
          </w:p>
        </w:tc>
        <w:tc>
          <w:tcPr>
            <w:tcW w:w="2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2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70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Site rental revenues as a percentage of</w:t>
            </w:r>
          </w:p>
        </w:tc>
        <w:tc>
          <w:tcPr>
            <w:tcW w:w="24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60" w:type="dxa"/>
            <w:vAlign w:val="bottom"/>
            <w:shd w:val="clear" w:color="auto" w:fill="DBE5F1"/>
          </w:tcPr>
          <w:p>
            <w:pPr>
              <w:spacing w:after="0"/>
              <w:rPr>
                <w:sz w:val="12"/>
                <w:szCs w:val="12"/>
                <w:color w:val="auto"/>
              </w:rPr>
            </w:pPr>
          </w:p>
        </w:tc>
        <w:tc>
          <w:tcPr>
            <w:tcW w:w="4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54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6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DBE5F1"/>
          </w:tcPr>
          <w:p>
            <w:pPr>
              <w:spacing w:after="0"/>
              <w:rPr>
                <w:sz w:val="12"/>
                <w:szCs w:val="12"/>
                <w:color w:val="auto"/>
              </w:rPr>
            </w:pPr>
          </w:p>
        </w:tc>
        <w:tc>
          <w:tcPr>
            <w:tcW w:w="320" w:type="dxa"/>
            <w:vAlign w:val="bottom"/>
            <w:shd w:val="clear" w:color="auto" w:fill="DBE5F1"/>
          </w:tcPr>
          <w:p>
            <w:pPr>
              <w:spacing w:after="0"/>
              <w:rPr>
                <w:sz w:val="12"/>
                <w:szCs w:val="12"/>
                <w:color w:val="auto"/>
              </w:rPr>
            </w:pPr>
          </w:p>
        </w:tc>
        <w:tc>
          <w:tcPr>
            <w:tcW w:w="4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c>
          <w:tcPr>
            <w:tcW w:w="52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50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2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2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258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prior year site rental revenues</w:t>
            </w:r>
          </w:p>
        </w:tc>
        <w:tc>
          <w:tcPr>
            <w:tcW w:w="24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540" w:type="dxa"/>
            <w:vAlign w:val="bottom"/>
            <w:gridSpan w:val="2"/>
            <w:vMerge w:val="continue"/>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6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500" w:type="dxa"/>
            <w:vAlign w:val="bottom"/>
            <w:gridSpan w:val="2"/>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Changes in revenues as a percentage of</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prior year site rental billings:</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DBE5F1"/>
          </w:tcPr>
          <w:p>
            <w:pPr>
              <w:ind w:left="300"/>
              <w:spacing w:after="0" w:line="145" w:lineRule="exact"/>
              <w:rPr>
                <w:sz w:val="20"/>
                <w:szCs w:val="20"/>
                <w:color w:val="auto"/>
              </w:rPr>
            </w:pPr>
            <w:r>
              <w:rPr>
                <w:rFonts w:ascii="Times New Roman" w:cs="Times New Roman" w:eastAsia="Times New Roman" w:hAnsi="Times New Roman"/>
                <w:sz w:val="14"/>
                <w:szCs w:val="14"/>
                <w:color w:val="auto"/>
              </w:rPr>
              <w:t>Organic Contribution to Site Rental</w:t>
            </w:r>
          </w:p>
        </w:tc>
        <w:tc>
          <w:tcPr>
            <w:tcW w:w="24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60" w:type="dxa"/>
            <w:vAlign w:val="bottom"/>
            <w:shd w:val="clear" w:color="auto" w:fill="DBE5F1"/>
          </w:tcPr>
          <w:p>
            <w:pPr>
              <w:spacing w:after="0"/>
              <w:rPr>
                <w:sz w:val="12"/>
                <w:szCs w:val="12"/>
                <w:color w:val="auto"/>
              </w:rPr>
            </w:pPr>
          </w:p>
        </w:tc>
        <w:tc>
          <w:tcPr>
            <w:tcW w:w="4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54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4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6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DBE5F1"/>
          </w:tcPr>
          <w:p>
            <w:pPr>
              <w:spacing w:after="0"/>
              <w:rPr>
                <w:sz w:val="12"/>
                <w:szCs w:val="12"/>
                <w:color w:val="auto"/>
              </w:rPr>
            </w:pPr>
          </w:p>
        </w:tc>
        <w:tc>
          <w:tcPr>
            <w:tcW w:w="320" w:type="dxa"/>
            <w:vAlign w:val="bottom"/>
            <w:shd w:val="clear" w:color="auto" w:fill="DBE5F1"/>
          </w:tcPr>
          <w:p>
            <w:pPr>
              <w:spacing w:after="0"/>
              <w:rPr>
                <w:sz w:val="12"/>
                <w:szCs w:val="12"/>
                <w:color w:val="auto"/>
              </w:rPr>
            </w:pPr>
          </w:p>
        </w:tc>
        <w:tc>
          <w:tcPr>
            <w:tcW w:w="440" w:type="dxa"/>
            <w:vAlign w:val="bottom"/>
            <w:gridSpan w:val="3"/>
            <w:vMerge w:val="restart"/>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c>
          <w:tcPr>
            <w:tcW w:w="520" w:type="dxa"/>
            <w:vAlign w:val="bottom"/>
            <w:gridSpan w:val="3"/>
            <w:vMerge w:val="restart"/>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w w:val="97"/>
              </w:rPr>
              <w:t>4.8 %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4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2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2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2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0" w:type="dxa"/>
            <w:vAlign w:val="bottom"/>
          </w:tcPr>
          <w:p>
            <w:pPr>
              <w:spacing w:after="0"/>
              <w:rPr>
                <w:sz w:val="1"/>
                <w:szCs w:val="1"/>
                <w:color w:val="auto"/>
              </w:rPr>
            </w:pPr>
          </w:p>
        </w:tc>
      </w:tr>
      <w:tr>
        <w:trPr>
          <w:trHeight w:val="189"/>
        </w:trPr>
        <w:tc>
          <w:tcPr>
            <w:tcW w:w="2580" w:type="dxa"/>
            <w:vAlign w:val="bottom"/>
            <w:shd w:val="clear" w:color="auto" w:fill="DBE5F1"/>
          </w:tcPr>
          <w:p>
            <w:pPr>
              <w:ind w:left="440"/>
              <w:spacing w:after="0" w:line="189" w:lineRule="exact"/>
              <w:rPr>
                <w:sz w:val="20"/>
                <w:szCs w:val="20"/>
                <w:color w:val="auto"/>
              </w:rPr>
            </w:pPr>
            <w:r>
              <w:rPr>
                <w:rFonts w:ascii="Times New Roman" w:cs="Times New Roman" w:eastAsia="Times New Roman" w:hAnsi="Times New Roman"/>
                <w:sz w:val="14"/>
                <w:szCs w:val="14"/>
                <w:color w:val="auto"/>
              </w:rPr>
              <w:t>Billings</w:t>
            </w:r>
            <w:r>
              <w:rPr>
                <w:rFonts w:ascii="Times New Roman" w:cs="Times New Roman" w:eastAsia="Times New Roman" w:hAnsi="Times New Roman"/>
                <w:sz w:val="18"/>
                <w:szCs w:val="18"/>
                <w:color w:val="auto"/>
                <w:vertAlign w:val="superscript"/>
              </w:rPr>
              <w:t>(a)</w:t>
            </w:r>
          </w:p>
        </w:tc>
        <w:tc>
          <w:tcPr>
            <w:tcW w:w="24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540" w:type="dxa"/>
            <w:vAlign w:val="bottom"/>
            <w:gridSpan w:val="2"/>
            <w:vMerge w:val="continue"/>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6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4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8"/>
          </w:tcPr>
          <w:p>
            <w:pPr>
              <w:ind w:left="60"/>
              <w:spacing w:after="0"/>
              <w:rPr>
                <w:sz w:val="20"/>
                <w:szCs w:val="20"/>
                <w:color w:val="auto"/>
              </w:rPr>
            </w:pPr>
            <w:r>
              <w:rPr>
                <w:rFonts w:ascii="Times New Roman" w:cs="Times New Roman" w:eastAsia="Times New Roman" w:hAnsi="Times New Roman"/>
                <w:sz w:val="14"/>
                <w:szCs w:val="14"/>
                <w:b w:val="1"/>
                <w:bCs w:val="1"/>
                <w:color w:val="auto"/>
              </w:rPr>
              <w:t>TOWERS SEGMENT SUMMARY OF CAPITAL EXPENDITURES</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46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760" w:type="dxa"/>
            <w:vAlign w:val="bottom"/>
            <w:gridSpan w:val="5"/>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480" w:type="dxa"/>
            <w:vAlign w:val="bottom"/>
            <w:gridSpan w:val="4"/>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680" w:type="dxa"/>
            <w:vAlign w:val="bottom"/>
            <w:gridSpan w:val="6"/>
            <w:shd w:val="clear" w:color="auto" w:fill="DBDBDB"/>
          </w:tcPr>
          <w:p>
            <w:pPr>
              <w:jc w:val="center"/>
              <w:ind w:right="109"/>
              <w:spacing w:after="0" w:line="134" w:lineRule="exact"/>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0" w:type="dxa"/>
            <w:vAlign w:val="bottom"/>
          </w:tcPr>
          <w:p>
            <w:pPr>
              <w:spacing w:after="0"/>
              <w:rPr>
                <w:sz w:val="1"/>
                <w:szCs w:val="1"/>
                <w:color w:val="auto"/>
              </w:rPr>
            </w:pPr>
          </w:p>
        </w:tc>
      </w:tr>
      <w:tr>
        <w:trPr>
          <w:trHeight w:val="186"/>
        </w:trPr>
        <w:tc>
          <w:tcPr>
            <w:tcW w:w="25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gridSpan w:val="5"/>
            <w:vMerge w:val="continue"/>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gridSpan w:val="4"/>
            <w:vMerge w:val="continue"/>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680" w:type="dxa"/>
            <w:vAlign w:val="bottom"/>
            <w:tcBorders>
              <w:bottom w:val="single" w:sz="8" w:color="auto"/>
            </w:tcBorders>
            <w:gridSpan w:val="6"/>
            <w:shd w:val="clear" w:color="auto" w:fill="DBDBDB"/>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5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3"/>
            <w:shd w:val="clear" w:color="auto" w:fill="DBDBDB"/>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Q2</w:t>
            </w:r>
          </w:p>
        </w:tc>
        <w:tc>
          <w:tcPr>
            <w:tcW w:w="40" w:type="dxa"/>
            <w:vAlign w:val="bottom"/>
            <w:tcBorders>
              <w:bottom w:val="single" w:sz="8" w:color="auto"/>
            </w:tcBorders>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Q4</w:t>
            </w:r>
          </w:p>
        </w:tc>
        <w:tc>
          <w:tcPr>
            <w:tcW w:w="1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340" w:type="dxa"/>
            <w:vAlign w:val="bottom"/>
            <w:tcBorders>
              <w:bottom w:val="single" w:sz="8" w:color="auto"/>
            </w:tcBorders>
            <w:gridSpan w:val="2"/>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9"/>
              </w:rPr>
              <w:t>Q1</w:t>
            </w:r>
          </w:p>
        </w:tc>
        <w:tc>
          <w:tcPr>
            <w:tcW w:w="6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740" w:type="dxa"/>
            <w:vAlign w:val="bottom"/>
            <w:tcBorders>
              <w:bottom w:val="single" w:sz="8" w:color="auto"/>
            </w:tcBorders>
            <w:gridSpan w:val="4"/>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gridSpan w:val="2"/>
            <w:shd w:val="clear" w:color="auto" w:fill="DBDBDB"/>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Q3</w:t>
            </w: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20" w:type="dxa"/>
            <w:vAlign w:val="bottom"/>
            <w:gridSpan w:val="4"/>
            <w:shd w:val="clear" w:color="auto" w:fill="DBE5F1"/>
          </w:tcPr>
          <w:p>
            <w:pPr>
              <w:ind w:left="240"/>
              <w:spacing w:after="0" w:line="145" w:lineRule="exact"/>
              <w:rPr>
                <w:sz w:val="20"/>
                <w:szCs w:val="20"/>
                <w:color w:val="auto"/>
              </w:rPr>
            </w:pPr>
            <w:r>
              <w:rPr>
                <w:rFonts w:ascii="Times New Roman" w:cs="Times New Roman" w:eastAsia="Times New Roman" w:hAnsi="Times New Roman"/>
                <w:sz w:val="14"/>
                <w:szCs w:val="14"/>
                <w:color w:val="auto"/>
              </w:rPr>
              <w:t>Communications infrastructure improvements and other</w:t>
            </w:r>
          </w:p>
        </w:tc>
        <w:tc>
          <w:tcPr>
            <w:tcW w:w="28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DBE5F1"/>
          </w:tcPr>
          <w:p>
            <w:pPr>
              <w:spacing w:after="0"/>
              <w:rPr>
                <w:sz w:val="12"/>
                <w:szCs w:val="12"/>
                <w:color w:val="auto"/>
              </w:rPr>
            </w:pPr>
          </w:p>
        </w:tc>
        <w:tc>
          <w:tcPr>
            <w:tcW w:w="40" w:type="dxa"/>
            <w:vAlign w:val="bottom"/>
            <w:shd w:val="clear" w:color="auto" w:fill="DBE5F1"/>
          </w:tcPr>
          <w:p>
            <w:pPr>
              <w:spacing w:after="0"/>
              <w:rPr>
                <w:sz w:val="12"/>
                <w:szCs w:val="12"/>
                <w:color w:val="auto"/>
              </w:rPr>
            </w:pPr>
          </w:p>
        </w:tc>
        <w:tc>
          <w:tcPr>
            <w:tcW w:w="20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DBE5F1"/>
          </w:tcPr>
          <w:p>
            <w:pPr>
              <w:spacing w:after="0"/>
              <w:rPr>
                <w:sz w:val="12"/>
                <w:szCs w:val="12"/>
                <w:color w:val="auto"/>
              </w:rPr>
            </w:pPr>
          </w:p>
        </w:tc>
        <w:tc>
          <w:tcPr>
            <w:tcW w:w="22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DBE5F1"/>
          </w:tcPr>
          <w:p>
            <w:pPr>
              <w:spacing w:after="0"/>
              <w:rPr>
                <w:sz w:val="12"/>
                <w:szCs w:val="12"/>
                <w:color w:val="auto"/>
              </w:rPr>
            </w:pPr>
          </w:p>
        </w:tc>
        <w:tc>
          <w:tcPr>
            <w:tcW w:w="1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DBE5F1"/>
          </w:tcPr>
          <w:p>
            <w:pPr>
              <w:spacing w:after="0"/>
              <w:rPr>
                <w:sz w:val="12"/>
                <w:szCs w:val="12"/>
                <w:color w:val="auto"/>
              </w:rPr>
            </w:pPr>
          </w:p>
        </w:tc>
        <w:tc>
          <w:tcPr>
            <w:tcW w:w="3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gridSpan w:val="3"/>
            <w:vMerge w:val="restart"/>
            <w:shd w:val="clear" w:color="auto" w:fill="DBE5F1"/>
          </w:tcPr>
          <w:p>
            <w:pPr>
              <w:jc w:val="center"/>
              <w:ind w:left="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gridSpan w:val="3"/>
            <w:vMerge w:val="restart"/>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DBE5F1"/>
          </w:tcPr>
          <w:p>
            <w:pPr>
              <w:spacing w:after="0"/>
              <w:rPr>
                <w:sz w:val="12"/>
                <w:szCs w:val="12"/>
                <w:color w:val="auto"/>
              </w:rPr>
            </w:pPr>
          </w:p>
        </w:tc>
        <w:tc>
          <w:tcPr>
            <w:tcW w:w="1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vMerge w:val="restart"/>
            <w:shd w:val="clear" w:color="auto" w:fill="DBE5F1"/>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80" w:type="dxa"/>
            <w:vAlign w:val="bottom"/>
            <w:gridSpan w:val="2"/>
            <w:vMerge w:val="restart"/>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122</w:t>
            </w:r>
          </w:p>
        </w:tc>
        <w:tc>
          <w:tcPr>
            <w:tcW w:w="2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200" w:type="dxa"/>
            <w:vAlign w:val="bottom"/>
            <w:gridSpan w:val="2"/>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9"/>
        </w:trPr>
        <w:tc>
          <w:tcPr>
            <w:tcW w:w="2580" w:type="dxa"/>
            <w:vAlign w:val="bottom"/>
            <w:shd w:val="clear" w:color="auto" w:fill="DBE5F1"/>
          </w:tcPr>
          <w:p>
            <w:pPr>
              <w:ind w:left="380"/>
              <w:spacing w:after="0"/>
              <w:rPr>
                <w:sz w:val="20"/>
                <w:szCs w:val="20"/>
                <w:color w:val="auto"/>
              </w:rPr>
            </w:pPr>
            <w:r>
              <w:rPr>
                <w:rFonts w:ascii="Times New Roman" w:cs="Times New Roman" w:eastAsia="Times New Roman" w:hAnsi="Times New Roman"/>
                <w:sz w:val="14"/>
                <w:szCs w:val="14"/>
                <w:color w:val="auto"/>
              </w:rPr>
              <w:t>capital projects</w:t>
            </w:r>
          </w:p>
        </w:tc>
        <w:tc>
          <w:tcPr>
            <w:tcW w:w="24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80" w:type="dxa"/>
            <w:vAlign w:val="bottom"/>
            <w:gridSpan w:val="2"/>
            <w:vMerge w:val="continue"/>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200" w:type="dxa"/>
            <w:vAlign w:val="bottom"/>
            <w:gridSpan w:val="2"/>
            <w:vMerge w:val="continue"/>
            <w:shd w:val="clear" w:color="auto" w:fill="DBE5F1"/>
          </w:tcPr>
          <w:p>
            <w:pPr>
              <w:spacing w:after="0"/>
              <w:rPr>
                <w:sz w:val="16"/>
                <w:szCs w:val="16"/>
                <w:color w:val="auto"/>
              </w:rPr>
            </w:pPr>
          </w:p>
        </w:tc>
        <w:tc>
          <w:tcPr>
            <w:tcW w:w="480" w:type="dxa"/>
            <w:vAlign w:val="bottom"/>
            <w:vMerge w:val="continue"/>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20" w:type="dxa"/>
            <w:vAlign w:val="bottom"/>
            <w:gridSpan w:val="3"/>
            <w:vMerge w:val="continue"/>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vMerge w:val="continue"/>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340" w:type="dxa"/>
            <w:vAlign w:val="bottom"/>
            <w:gridSpan w:val="2"/>
            <w:vMerge w:val="continue"/>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280" w:type="dxa"/>
            <w:vAlign w:val="bottom"/>
            <w:gridSpan w:val="2"/>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vMerge w:val="continue"/>
            <w:shd w:val="clear" w:color="auto" w:fill="DBE5F1"/>
          </w:tcPr>
          <w:p>
            <w:pPr>
              <w:spacing w:after="0"/>
              <w:rPr>
                <w:sz w:val="16"/>
                <w:szCs w:val="16"/>
                <w:color w:val="auto"/>
              </w:rPr>
            </w:pPr>
          </w:p>
        </w:tc>
        <w:tc>
          <w:tcPr>
            <w:tcW w:w="480" w:type="dxa"/>
            <w:vAlign w:val="bottom"/>
            <w:gridSpan w:val="2"/>
            <w:vMerge w:val="continue"/>
            <w:shd w:val="clear" w:color="auto" w:fill="DBE5F1"/>
          </w:tcPr>
          <w:p>
            <w:pPr>
              <w:spacing w:after="0"/>
              <w:rPr>
                <w:sz w:val="16"/>
                <w:szCs w:val="16"/>
                <w:color w:val="auto"/>
              </w:rPr>
            </w:pPr>
          </w:p>
        </w:tc>
        <w:tc>
          <w:tcPr>
            <w:tcW w:w="260" w:type="dxa"/>
            <w:vAlign w:val="bottom"/>
            <w:gridSpan w:val="3"/>
            <w:vMerge w:val="continue"/>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gridSpan w:val="2"/>
            <w:vMerge w:val="continue"/>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200" w:type="dxa"/>
            <w:vAlign w:val="bottom"/>
            <w:gridSpan w:val="2"/>
            <w:vMerge w:val="continue"/>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Borders>
              <w:bottom w:val="single" w:sz="8" w:color="DBE5F1"/>
            </w:tcBorders>
          </w:tcPr>
          <w:p>
            <w:pPr>
              <w:ind w:left="240"/>
              <w:spacing w:after="0"/>
              <w:rPr>
                <w:sz w:val="20"/>
                <w:szCs w:val="20"/>
                <w:color w:val="auto"/>
              </w:rPr>
            </w:pPr>
            <w:r>
              <w:rPr>
                <w:rFonts w:ascii="Times New Roman" w:cs="Times New Roman" w:eastAsia="Times New Roman" w:hAnsi="Times New Roman"/>
                <w:sz w:val="14"/>
                <w:szCs w:val="14"/>
                <w:color w:val="auto"/>
              </w:rPr>
              <w:t>Purchases of land interests</w:t>
            </w:r>
          </w:p>
        </w:tc>
        <w:tc>
          <w:tcPr>
            <w:tcW w:w="240" w:type="dxa"/>
            <w:vAlign w:val="bottom"/>
            <w:tcBorders>
              <w:bottom w:val="single" w:sz="8" w:color="DBE5F1"/>
            </w:tcBorders>
          </w:tcPr>
          <w:p>
            <w:pPr>
              <w:spacing w:after="0"/>
              <w:rPr>
                <w:sz w:val="16"/>
                <w:szCs w:val="16"/>
                <w:color w:val="auto"/>
              </w:rPr>
            </w:pPr>
          </w:p>
        </w:tc>
        <w:tc>
          <w:tcPr>
            <w:tcW w:w="5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bottom w:val="single" w:sz="8" w:color="DBE5F1"/>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3"/>
        </w:trPr>
        <w:tc>
          <w:tcPr>
            <w:tcW w:w="2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discretionary capital expenditures</w:t>
            </w:r>
          </w:p>
        </w:tc>
        <w:tc>
          <w:tcPr>
            <w:tcW w:w="240" w:type="dxa"/>
            <w:vAlign w:val="bottom"/>
            <w:shd w:val="clear" w:color="auto" w:fill="DBE5F1"/>
          </w:tcPr>
          <w:p>
            <w:pPr>
              <w:spacing w:after="0"/>
              <w:rPr>
                <w:sz w:val="15"/>
                <w:szCs w:val="15"/>
                <w:color w:val="auto"/>
              </w:rPr>
            </w:pPr>
          </w:p>
        </w:tc>
        <w:tc>
          <w:tcPr>
            <w:tcW w:w="5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DBE5F1"/>
          </w:tcPr>
          <w:p>
            <w:pPr>
              <w:spacing w:after="0"/>
              <w:rPr>
                <w:sz w:val="15"/>
                <w:szCs w:val="15"/>
                <w:color w:val="auto"/>
              </w:rPr>
            </w:pPr>
          </w:p>
        </w:tc>
        <w:tc>
          <w:tcPr>
            <w:tcW w:w="4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shd w:val="clear" w:color="auto" w:fill="DBE5F1"/>
          </w:tcPr>
          <w:p>
            <w:pPr>
              <w:spacing w:after="0"/>
              <w:rPr>
                <w:sz w:val="15"/>
                <w:szCs w:val="15"/>
                <w:color w:val="auto"/>
              </w:rPr>
            </w:pPr>
          </w:p>
        </w:tc>
        <w:tc>
          <w:tcPr>
            <w:tcW w:w="4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4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40" w:type="dxa"/>
            <w:vAlign w:val="bottom"/>
            <w:shd w:val="clear" w:color="auto" w:fill="DBE5F1"/>
          </w:tcPr>
          <w:p>
            <w:pPr>
              <w:spacing w:after="0"/>
              <w:rPr>
                <w:sz w:val="15"/>
                <w:szCs w:val="15"/>
                <w:color w:val="auto"/>
              </w:rPr>
            </w:pPr>
          </w:p>
        </w:tc>
        <w:tc>
          <w:tcPr>
            <w:tcW w:w="3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60" w:type="dxa"/>
            <w:vAlign w:val="bottom"/>
            <w:shd w:val="clear" w:color="auto" w:fill="DBE5F1"/>
          </w:tcPr>
          <w:p>
            <w:pPr>
              <w:spacing w:after="0"/>
              <w:rPr>
                <w:sz w:val="15"/>
                <w:szCs w:val="15"/>
                <w:color w:val="auto"/>
              </w:rPr>
            </w:pPr>
          </w:p>
        </w:tc>
        <w:tc>
          <w:tcPr>
            <w:tcW w:w="28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9"/>
              </w:rPr>
              <w:t>26</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48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186</w:t>
            </w:r>
          </w:p>
        </w:tc>
        <w:tc>
          <w:tcPr>
            <w:tcW w:w="2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87"/>
        </w:trPr>
        <w:tc>
          <w:tcPr>
            <w:tcW w:w="258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240" w:type="dxa"/>
            <w:vAlign w:val="bottom"/>
            <w:tcBorders>
              <w:bottom w:val="single" w:sz="8" w:color="DBE5F1"/>
            </w:tcBorders>
          </w:tcPr>
          <w:p>
            <w:pPr>
              <w:spacing w:after="0"/>
              <w:rPr>
                <w:sz w:val="16"/>
                <w:szCs w:val="16"/>
                <w:color w:val="auto"/>
              </w:rPr>
            </w:pPr>
          </w:p>
        </w:tc>
        <w:tc>
          <w:tcPr>
            <w:tcW w:w="5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Borders>
              <w:bottom w:val="single" w:sz="8" w:color="DBE5F1"/>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3"/>
        </w:trPr>
        <w:tc>
          <w:tcPr>
            <w:tcW w:w="25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240" w:type="dxa"/>
            <w:vAlign w:val="bottom"/>
            <w:shd w:val="clear" w:color="auto" w:fill="DBE5F1"/>
          </w:tcPr>
          <w:p>
            <w:pPr>
              <w:spacing w:after="0"/>
              <w:rPr>
                <w:sz w:val="15"/>
                <w:szCs w:val="15"/>
                <w:color w:val="auto"/>
              </w:rPr>
            </w:pPr>
          </w:p>
        </w:tc>
        <w:tc>
          <w:tcPr>
            <w:tcW w:w="5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DBE5F1"/>
          </w:tcPr>
          <w:p>
            <w:pPr>
              <w:spacing w:after="0"/>
              <w:rPr>
                <w:sz w:val="15"/>
                <w:szCs w:val="15"/>
                <w:color w:val="auto"/>
              </w:rPr>
            </w:pPr>
          </w:p>
        </w:tc>
        <w:tc>
          <w:tcPr>
            <w:tcW w:w="4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4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DBE5F1"/>
          </w:tcPr>
          <w:p>
            <w:pPr>
              <w:spacing w:after="0"/>
              <w:rPr>
                <w:sz w:val="15"/>
                <w:szCs w:val="15"/>
                <w:color w:val="auto"/>
              </w:rPr>
            </w:pPr>
          </w:p>
        </w:tc>
        <w:tc>
          <w:tcPr>
            <w:tcW w:w="4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4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40" w:type="dxa"/>
            <w:vAlign w:val="bottom"/>
            <w:shd w:val="clear" w:color="auto" w:fill="DBE5F1"/>
          </w:tcPr>
          <w:p>
            <w:pPr>
              <w:spacing w:after="0"/>
              <w:rPr>
                <w:sz w:val="15"/>
                <w:szCs w:val="15"/>
                <w:color w:val="auto"/>
              </w:rPr>
            </w:pPr>
          </w:p>
        </w:tc>
        <w:tc>
          <w:tcPr>
            <w:tcW w:w="3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60" w:type="dxa"/>
            <w:vAlign w:val="bottom"/>
            <w:shd w:val="clear" w:color="auto" w:fill="DBE5F1"/>
          </w:tcPr>
          <w:p>
            <w:pPr>
              <w:spacing w:after="0"/>
              <w:rPr>
                <w:sz w:val="15"/>
                <w:szCs w:val="15"/>
                <w:color w:val="auto"/>
              </w:rPr>
            </w:pPr>
          </w:p>
        </w:tc>
        <w:tc>
          <w:tcPr>
            <w:tcW w:w="28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9"/>
              </w:rPr>
              <w:t>29</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48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DBE5F1"/>
          </w:tcPr>
          <w:p>
            <w:pPr>
              <w:spacing w:after="0"/>
              <w:rPr>
                <w:sz w:val="15"/>
                <w:szCs w:val="15"/>
                <w:color w:val="auto"/>
              </w:rPr>
            </w:pPr>
          </w:p>
        </w:tc>
        <w:tc>
          <w:tcPr>
            <w:tcW w:w="60" w:type="dxa"/>
            <w:vAlign w:val="bottom"/>
            <w:shd w:val="clear" w:color="auto" w:fill="DBE5F1"/>
          </w:tcPr>
          <w:p>
            <w:pPr>
              <w:spacing w:after="0"/>
              <w:rPr>
                <w:sz w:val="15"/>
                <w:szCs w:val="15"/>
                <w:color w:val="auto"/>
              </w:rPr>
            </w:pPr>
          </w:p>
        </w:tc>
        <w:tc>
          <w:tcPr>
            <w:tcW w:w="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DBE5F1"/>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Less: Prepaid rent additions</w:t>
            </w:r>
            <w:r>
              <w:rPr>
                <w:rFonts w:ascii="Times New Roman" w:cs="Times New Roman" w:eastAsia="Times New Roman" w:hAnsi="Times New Roman"/>
                <w:sz w:val="18"/>
                <w:szCs w:val="18"/>
                <w:color w:val="auto"/>
                <w:vertAlign w:val="superscript"/>
              </w:rPr>
              <w:t>(c)</w:t>
            </w:r>
          </w:p>
        </w:tc>
        <w:tc>
          <w:tcPr>
            <w:tcW w:w="240" w:type="dxa"/>
            <w:vAlign w:val="bottom"/>
            <w:tcBorders>
              <w:bottom w:val="single" w:sz="8" w:color="DBE5F1"/>
            </w:tcBorders>
          </w:tcPr>
          <w:p>
            <w:pPr>
              <w:spacing w:after="0"/>
              <w:rPr>
                <w:sz w:val="16"/>
                <w:szCs w:val="16"/>
                <w:color w:val="auto"/>
              </w:rPr>
            </w:pPr>
          </w:p>
        </w:tc>
        <w:tc>
          <w:tcPr>
            <w:tcW w:w="50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Borders>
              <w:bottom w:val="single" w:sz="8" w:color="DBE5F1"/>
            </w:tcBorders>
          </w:tcPr>
          <w:p>
            <w:pPr>
              <w:spacing w:after="0"/>
              <w:rPr>
                <w:sz w:val="16"/>
                <w:szCs w:val="16"/>
                <w:color w:val="auto"/>
              </w:rPr>
            </w:pPr>
          </w:p>
        </w:tc>
        <w:tc>
          <w:tcPr>
            <w:tcW w:w="40" w:type="dxa"/>
            <w:vAlign w:val="bottom"/>
            <w:tcBorders>
              <w:bottom w:val="single" w:sz="8" w:color="DBE5F1"/>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DBE5F1"/>
            </w:tcBorders>
          </w:tcPr>
          <w:p>
            <w:pPr>
              <w:spacing w:after="0"/>
              <w:rPr>
                <w:sz w:val="16"/>
                <w:szCs w:val="16"/>
                <w:color w:val="auto"/>
              </w:rPr>
            </w:pPr>
          </w:p>
        </w:tc>
        <w:tc>
          <w:tcPr>
            <w:tcW w:w="2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6"/>
        </w:trPr>
        <w:tc>
          <w:tcPr>
            <w:tcW w:w="2820" w:type="dxa"/>
            <w:vAlign w:val="bottom"/>
            <w:tcBorders>
              <w:bottom w:val="single" w:sz="8" w:color="DBE5F1"/>
            </w:tcBorders>
            <w:gridSpan w:val="2"/>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Capital expenditures less prepaid rent additions</w:t>
            </w:r>
          </w:p>
        </w:tc>
        <w:tc>
          <w:tcPr>
            <w:tcW w:w="50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Borders>
              <w:bottom w:val="single" w:sz="8" w:color="auto"/>
            </w:tcBorders>
            <w:shd w:val="clear" w:color="auto" w:fill="DBE5F1"/>
          </w:tcPr>
          <w:p>
            <w:pPr>
              <w:spacing w:after="0"/>
              <w:rPr>
                <w:sz w:val="17"/>
                <w:szCs w:val="17"/>
                <w:color w:val="auto"/>
              </w:rPr>
            </w:pPr>
          </w:p>
        </w:tc>
        <w:tc>
          <w:tcPr>
            <w:tcW w:w="40" w:type="dxa"/>
            <w:vAlign w:val="bottom"/>
            <w:tcBorders>
              <w:bottom w:val="single" w:sz="8" w:color="DBE5F1"/>
            </w:tcBorders>
            <w:shd w:val="clear" w:color="auto" w:fill="DBE5F1"/>
          </w:tcPr>
          <w:p>
            <w:pPr>
              <w:spacing w:after="0"/>
              <w:rPr>
                <w:sz w:val="17"/>
                <w:szCs w:val="17"/>
                <w:color w:val="auto"/>
              </w:rPr>
            </w:pPr>
          </w:p>
        </w:tc>
        <w:tc>
          <w:tcPr>
            <w:tcW w:w="6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DBE5F1"/>
            </w:tcBorders>
            <w:shd w:val="clear" w:color="auto" w:fill="DBE5F1"/>
          </w:tcPr>
          <w:p>
            <w:pPr>
              <w:spacing w:after="0"/>
              <w:rPr>
                <w:sz w:val="17"/>
                <w:szCs w:val="17"/>
                <w:color w:val="auto"/>
              </w:rPr>
            </w:pPr>
          </w:p>
        </w:tc>
        <w:tc>
          <w:tcPr>
            <w:tcW w:w="4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DBE5F1"/>
          </w:tcPr>
          <w:p>
            <w:pPr>
              <w:spacing w:after="0"/>
              <w:rPr>
                <w:sz w:val="17"/>
                <w:szCs w:val="17"/>
                <w:color w:val="auto"/>
              </w:rPr>
            </w:pP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40" w:type="dxa"/>
            <w:vAlign w:val="bottom"/>
            <w:tcBorders>
              <w:bottom w:val="single" w:sz="8" w:color="auto"/>
            </w:tcBorders>
            <w:shd w:val="clear" w:color="auto" w:fill="DBE5F1"/>
          </w:tcPr>
          <w:p>
            <w:pPr>
              <w:jc w:val="center"/>
              <w:ind w:right="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36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Borders>
              <w:bottom w:val="single" w:sz="8" w:color="auto"/>
            </w:tcBorders>
            <w:shd w:val="clear" w:color="auto" w:fill="DBE5F1"/>
          </w:tcPr>
          <w:p>
            <w:pPr>
              <w:spacing w:after="0"/>
              <w:rPr>
                <w:sz w:val="17"/>
                <w:szCs w:val="17"/>
                <w:color w:val="auto"/>
              </w:rPr>
            </w:pPr>
          </w:p>
        </w:tc>
        <w:tc>
          <w:tcPr>
            <w:tcW w:w="60" w:type="dxa"/>
            <w:vAlign w:val="bottom"/>
            <w:tcBorders>
              <w:bottom w:val="single" w:sz="8" w:color="DBE5F1"/>
            </w:tcBorders>
            <w:shd w:val="clear" w:color="auto" w:fill="DBE5F1"/>
          </w:tcPr>
          <w:p>
            <w:pPr>
              <w:spacing w:after="0"/>
              <w:rPr>
                <w:sz w:val="17"/>
                <w:szCs w:val="17"/>
                <w:color w:val="auto"/>
              </w:rPr>
            </w:pPr>
          </w:p>
        </w:tc>
        <w:tc>
          <w:tcPr>
            <w:tcW w:w="2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
        </w:trPr>
        <w:tc>
          <w:tcPr>
            <w:tcW w:w="2580" w:type="dxa"/>
            <w:vAlign w:val="bottom"/>
            <w:tcBorders>
              <w:top w:val="single" w:sz="8" w:color="DBE5F1"/>
            </w:tcBorders>
          </w:tcPr>
          <w:p>
            <w:pPr>
              <w:spacing w:after="0" w:line="20" w:lineRule="exact"/>
              <w:rPr>
                <w:sz w:val="1"/>
                <w:szCs w:val="1"/>
                <w:color w:val="auto"/>
              </w:rPr>
            </w:pPr>
          </w:p>
        </w:tc>
        <w:tc>
          <w:tcPr>
            <w:tcW w:w="240" w:type="dxa"/>
            <w:vAlign w:val="bottom"/>
            <w:tcBorders>
              <w:top w:val="single" w:sz="8" w:color="DBE5F1"/>
            </w:tcBorders>
          </w:tcPr>
          <w:p>
            <w:pPr>
              <w:spacing w:after="0" w:line="20" w:lineRule="exact"/>
              <w:rPr>
                <w:sz w:val="1"/>
                <w:szCs w:val="1"/>
                <w:color w:val="auto"/>
              </w:rPr>
            </w:pPr>
          </w:p>
        </w:tc>
        <w:tc>
          <w:tcPr>
            <w:tcW w:w="50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4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4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24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3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4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2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285" w:right="20" w:hanging="285"/>
        <w:spacing w:after="0" w:line="256" w:lineRule="auto"/>
        <w:tabs>
          <w:tab w:leader="none" w:pos="28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Organic Contribution to Site Rental Billings, discretionary capital expenditures and sustaining capital expenditures.</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until the one-year anniversary of such acquisitions.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up-front consideration from long-term tenant contracts (commonly referred to as prepaid rent) that are amortized and recognized as revenue over the associated estimated lease term in accordance with GAAP.</w:t>
      </w:r>
    </w:p>
    <w:p>
      <w:pPr>
        <w:spacing w:after="0" w:line="38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65"/>
          </w:cols>
          <w:pgMar w:left="315" w:top="120" w:right="319" w:bottom="1440" w:gutter="0" w:footer="0" w:header="0"/>
        </w:sectPr>
      </w:pPr>
    </w:p>
    <w:bookmarkStart w:id="51" w:name="page52"/>
    <w:bookmarkEnd w:id="51"/>
    <w:p>
      <w:pPr>
        <w:jc w:val="center"/>
        <w:ind w:right="15"/>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shd w:val="clear" w:color="auto" w:fill="CCC0DA"/>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TOWERS SEGMENT PORTFOLIO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9465" cy="127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4946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20" w:right="319" w:bottom="1440" w:gutter="0" w:footer="0" w:header="0"/>
        </w:sectPr>
      </w:pPr>
    </w:p>
    <w:p>
      <w:pPr>
        <w:spacing w:after="0" w:line="5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Number of towers (in thousands)</w:t>
      </w:r>
      <w:r>
        <w:rPr>
          <w:rFonts w:ascii="Times New Roman" w:cs="Times New Roman" w:eastAsia="Times New Roman" w:hAnsi="Times New Roman"/>
          <w:sz w:val="18"/>
          <w:szCs w:val="18"/>
          <w:color w:val="auto"/>
          <w:vertAlign w:val="superscript"/>
        </w:rPr>
        <w:t>(a)</w:t>
      </w:r>
    </w:p>
    <w:p>
      <w:pPr>
        <w:spacing w:after="0" w:line="1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Average number of tenants per tower</w:t>
      </w:r>
    </w:p>
    <w:p>
      <w:pPr>
        <w:spacing w:after="0" w:line="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Remaining contracted tenant receivables (in billions)</w:t>
      </w:r>
      <w:r>
        <w:rPr>
          <w:rFonts w:ascii="Times New Roman" w:cs="Times New Roman" w:eastAsia="Times New Roman" w:hAnsi="Times New Roman"/>
          <w:sz w:val="18"/>
          <w:szCs w:val="18"/>
          <w:color w:val="auto"/>
          <w:vertAlign w:val="superscript"/>
        </w:rPr>
        <w:t>(b)</w:t>
      </w:r>
    </w:p>
    <w:p>
      <w:pPr>
        <w:spacing w:after="0" w:line="19" w:lineRule="exact"/>
        <w:rPr>
          <w:sz w:val="20"/>
          <w:szCs w:val="20"/>
          <w:color w:val="auto"/>
        </w:rPr>
      </w:pPr>
    </w:p>
    <w:p>
      <w:pPr>
        <w:ind w:left="25"/>
        <w:spacing w:after="0" w:line="262" w:lineRule="auto"/>
        <w:rPr>
          <w:sz w:val="20"/>
          <w:szCs w:val="20"/>
          <w:color w:val="auto"/>
        </w:rPr>
      </w:pPr>
      <w:r>
        <w:rPr>
          <w:rFonts w:ascii="Times New Roman" w:cs="Times New Roman" w:eastAsia="Times New Roman" w:hAnsi="Times New Roman"/>
          <w:sz w:val="13"/>
          <w:szCs w:val="13"/>
          <w:color w:val="auto"/>
        </w:rPr>
        <w:t>Weighted average remaining tenant contract term (years)</w:t>
      </w:r>
      <w:r>
        <w:rPr>
          <w:rFonts w:ascii="Times New Roman" w:cs="Times New Roman" w:eastAsia="Times New Roman" w:hAnsi="Times New Roman"/>
          <w:sz w:val="17"/>
          <w:szCs w:val="17"/>
          <w:color w:val="auto"/>
          <w:vertAlign w:val="superscript"/>
        </w:rPr>
        <w:t>(b)(c)</w:t>
      </w:r>
      <w:r>
        <w:rPr>
          <w:rFonts w:ascii="Times New Roman" w:cs="Times New Roman" w:eastAsia="Times New Roman" w:hAnsi="Times New Roman"/>
          <w:sz w:val="13"/>
          <w:szCs w:val="13"/>
          <w:color w:val="auto"/>
        </w:rPr>
        <w:t xml:space="preserve"> Percent of towers in the Top 50 / 100 Basic Trading Areas</w:t>
      </w:r>
    </w:p>
    <w:p>
      <w:pPr>
        <w:ind w:left="25"/>
        <w:spacing w:after="0" w:line="235" w:lineRule="auto"/>
        <w:rPr>
          <w:sz w:val="20"/>
          <w:szCs w:val="20"/>
          <w:color w:val="auto"/>
        </w:rPr>
      </w:pPr>
      <w:r>
        <w:rPr>
          <w:rFonts w:ascii="Times New Roman" w:cs="Times New Roman" w:eastAsia="Times New Roman" w:hAnsi="Times New Roman"/>
          <w:sz w:val="14"/>
          <w:szCs w:val="14"/>
          <w:color w:val="auto"/>
        </w:rPr>
        <w:t>Percent of ground leased / owned</w:t>
      </w:r>
      <w:r>
        <w:rPr>
          <w:rFonts w:ascii="Times New Roman" w:cs="Times New Roman" w:eastAsia="Times New Roman" w:hAnsi="Times New Roman"/>
          <w:sz w:val="18"/>
          <w:szCs w:val="18"/>
          <w:color w:val="auto"/>
          <w:vertAlign w:val="superscript"/>
        </w:rPr>
        <w:t>(d)</w:t>
      </w:r>
    </w:p>
    <w:p>
      <w:pPr>
        <w:ind w:left="25"/>
        <w:spacing w:after="0"/>
        <w:rPr>
          <w:sz w:val="20"/>
          <w:szCs w:val="20"/>
          <w:color w:val="auto"/>
        </w:rPr>
      </w:pPr>
      <w:r>
        <w:rPr>
          <w:rFonts w:ascii="Times New Roman" w:cs="Times New Roman" w:eastAsia="Times New Roman" w:hAnsi="Times New Roman"/>
          <w:sz w:val="14"/>
          <w:szCs w:val="14"/>
          <w:color w:val="auto"/>
        </w:rPr>
        <w:t>Weighted average maturity of ground leases (years)</w:t>
      </w:r>
      <w:r>
        <w:rPr>
          <w:rFonts w:ascii="Times New Roman" w:cs="Times New Roman" w:eastAsia="Times New Roman" w:hAnsi="Times New Roman"/>
          <w:sz w:val="18"/>
          <w:szCs w:val="18"/>
          <w:color w:val="auto"/>
          <w:vertAlign w:val="superscript"/>
        </w:rPr>
        <w:t>(d)(e)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40</w:t>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-100965</wp:posOffset>
            </wp:positionV>
            <wp:extent cx="714946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32" w:lineRule="exact"/>
        <w:rPr>
          <w:sz w:val="20"/>
          <w:szCs w:val="20"/>
          <w:color w:val="auto"/>
        </w:rPr>
      </w:pPr>
    </w:p>
    <w:p>
      <w:pPr>
        <w:jc w:val="both"/>
        <w:ind w:left="5720"/>
        <w:spacing w:after="0"/>
        <w:tabs>
          <w:tab w:leader="none" w:pos="74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18415</wp:posOffset>
            </wp:positionV>
            <wp:extent cx="7149465" cy="135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6</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56% / 71%</w:t>
      </w:r>
    </w:p>
    <w:p>
      <w:pPr>
        <w:spacing w:after="0" w:line="2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58%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-100965</wp:posOffset>
            </wp:positionV>
            <wp:extent cx="714946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35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TOWERS SEGMENT CASH YIELD ON INVESTED CAPITAL</w:t>
      </w:r>
      <w:r>
        <w:rPr>
          <w:rFonts w:ascii="Times New Roman" w:cs="Times New Roman" w:eastAsia="Times New Roman" w:hAnsi="Times New Roman"/>
          <w:sz w:val="18"/>
          <w:szCs w:val="18"/>
          <w:b w:val="1"/>
          <w:bCs w:val="1"/>
          <w:color w:val="auto"/>
          <w:vertAlign w:val="superscript"/>
        </w:rPr>
        <w:t>(f)</w:t>
      </w:r>
    </w:p>
    <w:p>
      <w:pPr>
        <w:spacing w:after="0" w:line="1" w:lineRule="exact"/>
        <w:rPr>
          <w:sz w:val="20"/>
          <w:szCs w:val="20"/>
          <w:color w:val="auto"/>
        </w:rPr>
      </w:pPr>
    </w:p>
    <w:p>
      <w:pPr>
        <w:sectPr>
          <w:pgSz w:w="11900" w:h="16838" w:orient="portrait"/>
          <w:cols w:equalWidth="0" w:num="2">
            <w:col w:w="3445" w:space="160"/>
            <w:col w:w="7660"/>
          </w:cols>
          <w:pgMar w:left="315" w:top="120" w:right="319" w:bottom="1440" w:gutter="0" w:footer="0" w:header="0"/>
          <w:type w:val="continuous"/>
        </w:sectPr>
      </w:pPr>
    </w:p>
    <w:tbl>
      <w:tblPr>
        <w:tblLayout w:type="fixed"/>
        <w:tblInd w:w="5" w:type="dxa"/>
        <w:tblCellMar>
          <w:top w:w="0" w:type="dxa"/>
          <w:left w:w="0" w:type="dxa"/>
          <w:bottom w:w="0" w:type="dxa"/>
          <w:right w:w="0" w:type="dxa"/>
        </w:tblCellMar>
      </w:tblPr>
      <w:tr>
        <w:trPr>
          <w:trHeight w:val="181"/>
        </w:trPr>
        <w:tc>
          <w:tcPr>
            <w:tcW w:w="5360" w:type="dxa"/>
            <w:vAlign w:val="bottom"/>
            <w:tcBorders>
              <w:top w:val="single" w:sz="8" w:color="auto"/>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tc>
        <w:tc>
          <w:tcPr>
            <w:tcW w:w="820" w:type="dxa"/>
            <w:vAlign w:val="bottom"/>
            <w:tcBorders>
              <w:top w:val="single" w:sz="8" w:color="auto"/>
              <w:bottom w:val="single" w:sz="8" w:color="auto"/>
            </w:tcBorders>
            <w:shd w:val="clear" w:color="auto" w:fill="D9D9D9"/>
          </w:tcPr>
          <w:p>
            <w:pPr>
              <w:spacing w:after="0"/>
              <w:rPr>
                <w:sz w:val="15"/>
                <w:szCs w:val="15"/>
                <w:color w:val="auto"/>
              </w:rPr>
            </w:pPr>
          </w:p>
        </w:tc>
        <w:tc>
          <w:tcPr>
            <w:tcW w:w="340" w:type="dxa"/>
            <w:vAlign w:val="bottom"/>
            <w:tcBorders>
              <w:top w:val="single" w:sz="8" w:color="auto"/>
              <w:bottom w:val="single" w:sz="8" w:color="auto"/>
            </w:tcBorders>
            <w:shd w:val="clear" w:color="auto" w:fill="D9D9D9"/>
          </w:tcPr>
          <w:p>
            <w:pPr>
              <w:spacing w:after="0"/>
              <w:rPr>
                <w:sz w:val="15"/>
                <w:szCs w:val="15"/>
                <w:color w:val="auto"/>
              </w:rPr>
            </w:pPr>
          </w:p>
        </w:tc>
        <w:tc>
          <w:tcPr>
            <w:tcW w:w="580" w:type="dxa"/>
            <w:vAlign w:val="bottom"/>
            <w:tcBorders>
              <w:top w:val="single" w:sz="8" w:color="auto"/>
              <w:bottom w:val="single" w:sz="8" w:color="auto"/>
            </w:tcBorders>
            <w:shd w:val="clear" w:color="auto" w:fill="D9D9D9"/>
          </w:tcPr>
          <w:p>
            <w:pPr>
              <w:spacing w:after="0"/>
              <w:rPr>
                <w:sz w:val="15"/>
                <w:szCs w:val="15"/>
                <w:color w:val="auto"/>
              </w:rPr>
            </w:pPr>
          </w:p>
        </w:tc>
        <w:tc>
          <w:tcPr>
            <w:tcW w:w="260" w:type="dxa"/>
            <w:vAlign w:val="bottom"/>
            <w:tcBorders>
              <w:top w:val="single" w:sz="8" w:color="auto"/>
              <w:bottom w:val="single" w:sz="8" w:color="auto"/>
            </w:tcBorders>
            <w:shd w:val="clear" w:color="auto" w:fill="D9D9D9"/>
          </w:tcPr>
          <w:p>
            <w:pPr>
              <w:spacing w:after="0"/>
              <w:rPr>
                <w:sz w:val="15"/>
                <w:szCs w:val="15"/>
                <w:color w:val="auto"/>
              </w:rPr>
            </w:pPr>
          </w:p>
        </w:tc>
        <w:tc>
          <w:tcPr>
            <w:tcW w:w="300" w:type="dxa"/>
            <w:vAlign w:val="bottom"/>
            <w:tcBorders>
              <w:top w:val="single" w:sz="8" w:color="auto"/>
              <w:bottom w:val="single" w:sz="8" w:color="auto"/>
            </w:tcBorders>
            <w:shd w:val="clear" w:color="auto" w:fill="D9D9D9"/>
          </w:tcPr>
          <w:p>
            <w:pPr>
              <w:spacing w:after="0"/>
              <w:rPr>
                <w:sz w:val="15"/>
                <w:szCs w:val="15"/>
                <w:color w:val="auto"/>
              </w:rPr>
            </w:pPr>
          </w:p>
        </w:tc>
        <w:tc>
          <w:tcPr>
            <w:tcW w:w="8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4"/>
                <w:szCs w:val="14"/>
                <w:b w:val="1"/>
                <w:bCs w:val="1"/>
                <w:color w:val="auto"/>
              </w:rPr>
              <w:t>Q4 2024 LQA</w:t>
            </w:r>
          </w:p>
        </w:tc>
        <w:tc>
          <w:tcPr>
            <w:tcW w:w="320" w:type="dxa"/>
            <w:vAlign w:val="bottom"/>
            <w:tcBorders>
              <w:top w:val="single" w:sz="8" w:color="auto"/>
              <w:bottom w:val="single" w:sz="8" w:color="auto"/>
            </w:tcBorders>
            <w:shd w:val="clear" w:color="auto" w:fill="D9D9D9"/>
          </w:tcPr>
          <w:p>
            <w:pPr>
              <w:spacing w:after="0"/>
              <w:rPr>
                <w:sz w:val="15"/>
                <w:szCs w:val="15"/>
                <w:color w:val="auto"/>
              </w:rPr>
            </w:pPr>
          </w:p>
        </w:tc>
        <w:tc>
          <w:tcPr>
            <w:tcW w:w="260" w:type="dxa"/>
            <w:vAlign w:val="bottom"/>
            <w:tcBorders>
              <w:top w:val="single" w:sz="8" w:color="auto"/>
              <w:bottom w:val="single" w:sz="8" w:color="auto"/>
            </w:tcBorders>
            <w:shd w:val="clear" w:color="auto" w:fill="D9D9D9"/>
          </w:tcPr>
          <w:p>
            <w:pPr>
              <w:spacing w:after="0"/>
              <w:rPr>
                <w:sz w:val="15"/>
                <w:szCs w:val="15"/>
                <w:color w:val="auto"/>
              </w:rPr>
            </w:pPr>
          </w:p>
        </w:tc>
        <w:tc>
          <w:tcPr>
            <w:tcW w:w="80" w:type="dxa"/>
            <w:vAlign w:val="bottom"/>
            <w:tcBorders>
              <w:top w:val="single" w:sz="8" w:color="auto"/>
              <w:bottom w:val="single" w:sz="8" w:color="auto"/>
            </w:tcBorders>
            <w:shd w:val="clear" w:color="auto" w:fill="D9D9D9"/>
          </w:tcPr>
          <w:p>
            <w:pPr>
              <w:spacing w:after="0"/>
              <w:rPr>
                <w:sz w:val="15"/>
                <w:szCs w:val="15"/>
                <w:color w:val="auto"/>
              </w:rPr>
            </w:pPr>
          </w:p>
        </w:tc>
        <w:tc>
          <w:tcPr>
            <w:tcW w:w="480" w:type="dxa"/>
            <w:vAlign w:val="bottom"/>
            <w:tcBorders>
              <w:top w:val="single" w:sz="8" w:color="auto"/>
              <w:bottom w:val="single" w:sz="8" w:color="auto"/>
            </w:tcBorders>
            <w:shd w:val="clear" w:color="auto" w:fill="D9D9D9"/>
          </w:tcPr>
          <w:p>
            <w:pPr>
              <w:spacing w:after="0"/>
              <w:rPr>
                <w:sz w:val="15"/>
                <w:szCs w:val="15"/>
                <w:color w:val="auto"/>
              </w:rPr>
            </w:pPr>
          </w:p>
        </w:tc>
        <w:tc>
          <w:tcPr>
            <w:tcW w:w="1560" w:type="dxa"/>
            <w:vAlign w:val="bottom"/>
            <w:tcBorders>
              <w:top w:val="single" w:sz="8" w:color="auto"/>
              <w:bottom w:val="single" w:sz="8" w:color="auto"/>
            </w:tcBorders>
            <w:gridSpan w:val="3"/>
            <w:shd w:val="clear" w:color="auto" w:fill="D9D9D9"/>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Q4 2023 LQA</w:t>
            </w:r>
          </w:p>
        </w:tc>
        <w:tc>
          <w:tcPr>
            <w:tcW w:w="20" w:type="dxa"/>
            <w:vAlign w:val="bottom"/>
          </w:tcPr>
          <w:p>
            <w:pPr>
              <w:spacing w:after="0"/>
              <w:rPr>
                <w:sz w:val="15"/>
                <w:szCs w:val="15"/>
                <w:color w:val="auto"/>
              </w:rPr>
            </w:pPr>
          </w:p>
        </w:tc>
      </w:tr>
      <w:tr>
        <w:trPr>
          <w:trHeight w:val="181"/>
        </w:trPr>
        <w:tc>
          <w:tcPr>
            <w:tcW w:w="53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(g)</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3,392</w:t>
            </w:r>
          </w:p>
        </w:tc>
        <w:tc>
          <w:tcPr>
            <w:tcW w:w="20" w:type="dxa"/>
            <w:vAlign w:val="bottom"/>
          </w:tcPr>
          <w:p>
            <w:pPr>
              <w:spacing w:after="0"/>
              <w:rPr>
                <w:sz w:val="15"/>
                <w:szCs w:val="15"/>
                <w:color w:val="auto"/>
              </w:rPr>
            </w:pPr>
          </w:p>
        </w:tc>
      </w:tr>
      <w:tr>
        <w:trPr>
          <w:trHeight w:val="189"/>
        </w:trPr>
        <w:tc>
          <w:tcPr>
            <w:tcW w:w="5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Less: Amortization of prepaid rent</w:t>
            </w:r>
          </w:p>
        </w:tc>
        <w:tc>
          <w:tcPr>
            <w:tcW w:w="82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Pr>
          <w:p>
            <w:pPr>
              <w:spacing w:after="0"/>
              <w:rPr>
                <w:sz w:val="16"/>
                <w:szCs w:val="16"/>
                <w:color w:val="auto"/>
              </w:rPr>
            </w:pPr>
          </w:p>
        </w:tc>
      </w:tr>
      <w:tr>
        <w:trPr>
          <w:trHeight w:val="187"/>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Straight-lined revenues</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(200)</w:t>
            </w:r>
          </w:p>
        </w:tc>
        <w:tc>
          <w:tcPr>
            <w:tcW w:w="20" w:type="dxa"/>
            <w:vAlign w:val="bottom"/>
          </w:tcPr>
          <w:p>
            <w:pPr>
              <w:spacing w:after="0"/>
              <w:rPr>
                <w:sz w:val="16"/>
                <w:szCs w:val="16"/>
                <w:color w:val="auto"/>
              </w:rPr>
            </w:pPr>
          </w:p>
        </w:tc>
      </w:tr>
      <w:tr>
        <w:trPr>
          <w:trHeight w:val="192"/>
        </w:trPr>
        <w:tc>
          <w:tcPr>
            <w:tcW w:w="536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Add: Straight-lined expenses</w:t>
            </w:r>
            <w:r>
              <w:rPr>
                <w:rFonts w:ascii="Times New Roman" w:cs="Times New Roman" w:eastAsia="Times New Roman" w:hAnsi="Times New Roman"/>
                <w:sz w:val="18"/>
                <w:szCs w:val="18"/>
                <w:color w:val="auto"/>
                <w:vertAlign w:val="superscript"/>
              </w:rPr>
              <w:t>(h)</w:t>
            </w:r>
          </w:p>
        </w:tc>
        <w:tc>
          <w:tcPr>
            <w:tcW w:w="82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260" w:type="dxa"/>
            <w:vAlign w:val="bottom"/>
            <w:tcBorders>
              <w:bottom w:val="single" w:sz="8" w:color="auto"/>
            </w:tcBorders>
            <w:shd w:val="clear" w:color="auto" w:fill="DBE5F1"/>
          </w:tcPr>
          <w:p>
            <w:pPr>
              <w:spacing w:after="0"/>
              <w:rPr>
                <w:sz w:val="16"/>
                <w:szCs w:val="16"/>
                <w:color w:val="auto"/>
              </w:rPr>
            </w:pPr>
          </w:p>
        </w:tc>
        <w:tc>
          <w:tcPr>
            <w:tcW w:w="300" w:type="dxa"/>
            <w:vAlign w:val="bottom"/>
            <w:tcBorders>
              <w:bottom w:val="single" w:sz="8" w:color="auto"/>
            </w:tcBorders>
            <w:shd w:val="clear" w:color="auto" w:fill="DBE5F1"/>
          </w:tcPr>
          <w:p>
            <w:pPr>
              <w:spacing w:after="0"/>
              <w:rPr>
                <w:sz w:val="16"/>
                <w:szCs w:val="16"/>
                <w:color w:val="auto"/>
              </w:rPr>
            </w:pPr>
          </w:p>
        </w:tc>
        <w:tc>
          <w:tcPr>
            <w:tcW w:w="880" w:type="dxa"/>
            <w:vAlign w:val="bottom"/>
            <w:tcBorders>
              <w:bottom w:val="single" w:sz="8" w:color="auto"/>
            </w:tcBorders>
            <w:shd w:val="clear" w:color="auto" w:fill="DBE5F1"/>
          </w:tcPr>
          <w:p>
            <w:pPr>
              <w:spacing w:after="0"/>
              <w:rPr>
                <w:sz w:val="16"/>
                <w:szCs w:val="16"/>
                <w:color w:val="auto"/>
              </w:rPr>
            </w:pPr>
          </w:p>
        </w:tc>
        <w:tc>
          <w:tcPr>
            <w:tcW w:w="580" w:type="dxa"/>
            <w:vAlign w:val="bottom"/>
            <w:tcBorders>
              <w:bottom w:val="single" w:sz="8" w:color="auto"/>
            </w:tcBorders>
            <w:gridSpan w:val="2"/>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spacing w:after="0"/>
              <w:rPr>
                <w:sz w:val="16"/>
                <w:szCs w:val="16"/>
                <w:color w:val="auto"/>
              </w:rPr>
            </w:pPr>
          </w:p>
        </w:tc>
        <w:tc>
          <w:tcPr>
            <w:tcW w:w="300" w:type="dxa"/>
            <w:vAlign w:val="bottom"/>
            <w:tcBorders>
              <w:bottom w:val="single" w:sz="8" w:color="auto"/>
            </w:tcBorders>
            <w:shd w:val="clear" w:color="auto" w:fill="DBE5F1"/>
          </w:tcPr>
          <w:p>
            <w:pPr>
              <w:spacing w:after="0"/>
              <w:rPr>
                <w:sz w:val="16"/>
                <w:szCs w:val="16"/>
                <w:color w:val="auto"/>
              </w:rPr>
            </w:pPr>
          </w:p>
        </w:tc>
        <w:tc>
          <w:tcPr>
            <w:tcW w:w="92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6"/>
                <w:szCs w:val="16"/>
                <w:color w:val="auto"/>
              </w:rPr>
            </w:pPr>
          </w:p>
        </w:tc>
      </w:tr>
      <w:tr>
        <w:trPr>
          <w:trHeight w:val="181"/>
        </w:trPr>
        <w:tc>
          <w:tcPr>
            <w:tcW w:w="53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Numerator</w:t>
            </w:r>
            <w:r>
              <w:rPr>
                <w:rFonts w:ascii="Times New Roman" w:cs="Times New Roman" w:eastAsia="Times New Roman" w:hAnsi="Times New Roman"/>
                <w:sz w:val="18"/>
                <w:szCs w:val="18"/>
                <w:color w:val="auto"/>
                <w:vertAlign w:val="superscript"/>
              </w:rPr>
              <w:t>(h)</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3,140</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3,008</w:t>
            </w:r>
          </w:p>
        </w:tc>
        <w:tc>
          <w:tcPr>
            <w:tcW w:w="20" w:type="dxa"/>
            <w:vAlign w:val="bottom"/>
          </w:tcPr>
          <w:p>
            <w:pPr>
              <w:spacing w:after="0"/>
              <w:rPr>
                <w:sz w:val="15"/>
                <w:szCs w:val="15"/>
                <w:color w:val="auto"/>
              </w:rPr>
            </w:pPr>
          </w:p>
        </w:tc>
      </w:tr>
      <w:tr>
        <w:trPr>
          <w:trHeight w:val="237"/>
        </w:trPr>
        <w:tc>
          <w:tcPr>
            <w:tcW w:w="5360" w:type="dxa"/>
            <w:vAlign w:val="bottom"/>
            <w:shd w:val="clear" w:color="auto" w:fill="DBE5F1"/>
          </w:tcPr>
          <w:p>
            <w:pPr>
              <w:spacing w:after="0"/>
              <w:rPr>
                <w:sz w:val="20"/>
                <w:szCs w:val="20"/>
                <w:color w:val="auto"/>
              </w:rPr>
            </w:pPr>
          </w:p>
        </w:tc>
        <w:tc>
          <w:tcPr>
            <w:tcW w:w="82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58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580" w:type="dxa"/>
            <w:vAlign w:val="bottom"/>
            <w:gridSpan w:val="2"/>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48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300" w:type="dxa"/>
            <w:vAlign w:val="bottom"/>
            <w:shd w:val="clear" w:color="auto" w:fill="DBE5F1"/>
          </w:tcPr>
          <w:p>
            <w:pPr>
              <w:spacing w:after="0"/>
              <w:rPr>
                <w:sz w:val="20"/>
                <w:szCs w:val="20"/>
                <w:color w:val="auto"/>
              </w:rPr>
            </w:pPr>
          </w:p>
        </w:tc>
        <w:tc>
          <w:tcPr>
            <w:tcW w:w="920" w:type="dxa"/>
            <w:vAlign w:val="bottom"/>
            <w:shd w:val="clear" w:color="auto" w:fill="DBE5F1"/>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3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net investment in property and equipment</w:t>
            </w:r>
            <w:r>
              <w:rPr>
                <w:rFonts w:ascii="Times New Roman" w:cs="Times New Roman" w:eastAsia="Times New Roman" w:hAnsi="Times New Roman"/>
                <w:sz w:val="18"/>
                <w:szCs w:val="18"/>
                <w:color w:val="auto"/>
                <w:vertAlign w:val="superscript"/>
              </w:rPr>
              <w:t>(i)</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98"/>
              </w:rPr>
              <w:t>13,547</w:t>
            </w:r>
          </w:p>
        </w:tc>
        <w:tc>
          <w:tcPr>
            <w:tcW w:w="80" w:type="dxa"/>
            <w:vAlign w:val="bottom"/>
          </w:tcPr>
          <w:p>
            <w:pPr>
              <w:spacing w:after="0"/>
              <w:rPr>
                <w:sz w:val="16"/>
                <w:szCs w:val="16"/>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13,407</w:t>
            </w:r>
          </w:p>
        </w:tc>
        <w:tc>
          <w:tcPr>
            <w:tcW w:w="20" w:type="dxa"/>
            <w:vAlign w:val="bottom"/>
          </w:tcPr>
          <w:p>
            <w:pPr>
              <w:spacing w:after="0"/>
              <w:rPr>
                <w:sz w:val="16"/>
                <w:szCs w:val="16"/>
                <w:color w:val="auto"/>
              </w:rPr>
            </w:pPr>
          </w:p>
        </w:tc>
      </w:tr>
      <w:tr>
        <w:trPr>
          <w:trHeight w:val="189"/>
        </w:trPr>
        <w:tc>
          <w:tcPr>
            <w:tcW w:w="5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Segment investment in site rental contracts and tenant relationships</w:t>
            </w:r>
          </w:p>
        </w:tc>
        <w:tc>
          <w:tcPr>
            <w:tcW w:w="82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4,589</w:t>
            </w:r>
          </w:p>
        </w:tc>
        <w:tc>
          <w:tcPr>
            <w:tcW w:w="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4,590</w:t>
            </w:r>
          </w:p>
        </w:tc>
        <w:tc>
          <w:tcPr>
            <w:tcW w:w="20" w:type="dxa"/>
            <w:vAlign w:val="bottom"/>
          </w:tcPr>
          <w:p>
            <w:pPr>
              <w:spacing w:after="0"/>
              <w:rPr>
                <w:sz w:val="16"/>
                <w:szCs w:val="16"/>
                <w:color w:val="auto"/>
              </w:rPr>
            </w:pPr>
          </w:p>
        </w:tc>
      </w:tr>
      <w:tr>
        <w:trPr>
          <w:trHeight w:val="189"/>
        </w:trPr>
        <w:tc>
          <w:tcPr>
            <w:tcW w:w="5360" w:type="dxa"/>
            <w:vAlign w:val="bottom"/>
            <w:tcBorders>
              <w:bottom w:val="single" w:sz="8" w:color="DBE5F1"/>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investment in goodwill</w:t>
            </w:r>
            <w:r>
              <w:rPr>
                <w:rFonts w:ascii="Times New Roman" w:cs="Times New Roman" w:eastAsia="Times New Roman" w:hAnsi="Times New Roman"/>
                <w:sz w:val="18"/>
                <w:szCs w:val="18"/>
                <w:color w:val="auto"/>
                <w:vertAlign w:val="superscript"/>
              </w:rPr>
              <w:t>(j)</w:t>
            </w:r>
          </w:p>
        </w:tc>
        <w:tc>
          <w:tcPr>
            <w:tcW w:w="820" w:type="dxa"/>
            <w:vAlign w:val="bottom"/>
            <w:tcBorders>
              <w:bottom w:val="single" w:sz="8" w:color="DBE5F1"/>
            </w:tcBorders>
          </w:tcPr>
          <w:p>
            <w:pPr>
              <w:spacing w:after="0"/>
              <w:rPr>
                <w:sz w:val="16"/>
                <w:szCs w:val="16"/>
                <w:color w:val="auto"/>
              </w:rPr>
            </w:pPr>
          </w:p>
        </w:tc>
        <w:tc>
          <w:tcPr>
            <w:tcW w:w="340" w:type="dxa"/>
            <w:vAlign w:val="bottom"/>
            <w:tcBorders>
              <w:bottom w:val="single" w:sz="8" w:color="DBE5F1"/>
            </w:tcBorders>
          </w:tcPr>
          <w:p>
            <w:pPr>
              <w:spacing w:after="0"/>
              <w:rPr>
                <w:sz w:val="16"/>
                <w:szCs w:val="16"/>
                <w:color w:val="auto"/>
              </w:rPr>
            </w:pPr>
          </w:p>
        </w:tc>
        <w:tc>
          <w:tcPr>
            <w:tcW w:w="58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5,351</w:t>
            </w:r>
          </w:p>
        </w:tc>
        <w:tc>
          <w:tcPr>
            <w:tcW w:w="80" w:type="dxa"/>
            <w:vAlign w:val="bottom"/>
            <w:tcBorders>
              <w:bottom w:val="single" w:sz="8" w:color="DBE5F1"/>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5,351</w:t>
            </w:r>
          </w:p>
        </w:tc>
        <w:tc>
          <w:tcPr>
            <w:tcW w:w="20" w:type="dxa"/>
            <w:vAlign w:val="bottom"/>
          </w:tcPr>
          <w:p>
            <w:pPr>
              <w:spacing w:after="0"/>
              <w:rPr>
                <w:sz w:val="16"/>
                <w:szCs w:val="16"/>
                <w:color w:val="auto"/>
              </w:rPr>
            </w:pPr>
          </w:p>
        </w:tc>
      </w:tr>
      <w:tr>
        <w:trPr>
          <w:trHeight w:val="181"/>
        </w:trPr>
        <w:tc>
          <w:tcPr>
            <w:tcW w:w="5360" w:type="dxa"/>
            <w:vAlign w:val="bottom"/>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Net Invested Capital</w:t>
            </w:r>
            <w:r>
              <w:rPr>
                <w:rFonts w:ascii="Times New Roman" w:cs="Times New Roman" w:eastAsia="Times New Roman" w:hAnsi="Times New Roman"/>
                <w:sz w:val="18"/>
                <w:szCs w:val="18"/>
                <w:color w:val="auto"/>
                <w:vertAlign w:val="superscript"/>
              </w:rPr>
              <w:t>(f)</w:t>
            </w:r>
          </w:p>
        </w:tc>
        <w:tc>
          <w:tcPr>
            <w:tcW w:w="82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580" w:type="dxa"/>
            <w:vAlign w:val="bottom"/>
            <w:shd w:val="clear" w:color="auto" w:fill="DBE5F1"/>
          </w:tcPr>
          <w:p>
            <w:pPr>
              <w:spacing w:after="0"/>
              <w:rPr>
                <w:sz w:val="15"/>
                <w:szCs w:val="15"/>
                <w:color w:val="auto"/>
              </w:rPr>
            </w:pP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580" w:type="dxa"/>
            <w:vAlign w:val="bottom"/>
            <w:gridSpan w:val="2"/>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98"/>
              </w:rPr>
              <w:t>23,487</w:t>
            </w:r>
          </w:p>
        </w:tc>
        <w:tc>
          <w:tcPr>
            <w:tcW w:w="80" w:type="dxa"/>
            <w:vAlign w:val="bottom"/>
            <w:shd w:val="clear" w:color="auto" w:fill="DBE5F1"/>
          </w:tcPr>
          <w:p>
            <w:pPr>
              <w:spacing w:after="0"/>
              <w:rPr>
                <w:sz w:val="15"/>
                <w:szCs w:val="15"/>
                <w:color w:val="auto"/>
              </w:rPr>
            </w:pPr>
          </w:p>
        </w:tc>
        <w:tc>
          <w:tcPr>
            <w:tcW w:w="480" w:type="dxa"/>
            <w:vAlign w:val="bottom"/>
            <w:shd w:val="clear" w:color="auto" w:fill="DBE5F1"/>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92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23,348</w:t>
            </w:r>
          </w:p>
        </w:tc>
        <w:tc>
          <w:tcPr>
            <w:tcW w:w="20" w:type="dxa"/>
            <w:vAlign w:val="bottom"/>
          </w:tcPr>
          <w:p>
            <w:pPr>
              <w:spacing w:after="0"/>
              <w:rPr>
                <w:sz w:val="15"/>
                <w:szCs w:val="15"/>
                <w:color w:val="auto"/>
              </w:rPr>
            </w:pPr>
          </w:p>
        </w:tc>
      </w:tr>
      <w:tr>
        <w:trPr>
          <w:trHeight w:val="237"/>
        </w:trPr>
        <w:tc>
          <w:tcPr>
            <w:tcW w:w="5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536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Cash Yield on Invested Capital</w:t>
            </w:r>
            <w:r>
              <w:rPr>
                <w:rFonts w:ascii="Times New Roman" w:cs="Times New Roman" w:eastAsia="Times New Roman" w:hAnsi="Times New Roman"/>
                <w:sz w:val="18"/>
                <w:szCs w:val="18"/>
                <w:color w:val="auto"/>
                <w:vertAlign w:val="superscript"/>
              </w:rPr>
              <w:t>(f)(h)</w:t>
            </w:r>
          </w:p>
        </w:tc>
        <w:tc>
          <w:tcPr>
            <w:tcW w:w="82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20" w:type="dxa"/>
            <w:vAlign w:val="bottom"/>
          </w:tcPr>
          <w:p>
            <w:pPr>
              <w:spacing w:after="0"/>
              <w:rPr>
                <w:sz w:val="16"/>
                <w:szCs w:val="16"/>
                <w:color w:val="auto"/>
              </w:rPr>
            </w:pPr>
          </w:p>
        </w:tc>
      </w:tr>
      <w:tr>
        <w:trPr>
          <w:trHeight w:val="802"/>
        </w:trPr>
        <w:tc>
          <w:tcPr>
            <w:tcW w:w="8860" w:type="dxa"/>
            <w:vAlign w:val="bottom"/>
            <w:gridSpan w:val="8"/>
          </w:tcPr>
          <w:p>
            <w:pPr>
              <w:ind w:left="2660"/>
              <w:spacing w:after="0"/>
              <w:rPr>
                <w:sz w:val="20"/>
                <w:szCs w:val="20"/>
                <w:color w:val="auto"/>
              </w:rPr>
            </w:pPr>
            <w:r>
              <w:rPr>
                <w:rFonts w:ascii="Times New Roman" w:cs="Times New Roman" w:eastAsia="Times New Roman" w:hAnsi="Times New Roman"/>
                <w:sz w:val="14"/>
                <w:szCs w:val="14"/>
                <w:b w:val="1"/>
                <w:bCs w:val="1"/>
                <w:color w:val="auto"/>
              </w:rPr>
              <w:t>TOWERS SEGMENT ANNUALIZED RENTAL CASH PAYMENTS AT TIME OF RENEWAL</w:t>
            </w:r>
            <w:r>
              <w:rPr>
                <w:rFonts w:ascii="Times New Roman" w:cs="Times New Roman" w:eastAsia="Times New Roman" w:hAnsi="Times New Roman"/>
                <w:sz w:val="18"/>
                <w:szCs w:val="18"/>
                <w:b w:val="1"/>
                <w:bCs w:val="1"/>
                <w:color w:val="auto"/>
                <w:vertAlign w:val="superscript"/>
              </w:rPr>
              <w:t>(k)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5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r>
        <w:trPr>
          <w:trHeight w:val="178"/>
        </w:trPr>
        <w:tc>
          <w:tcPr>
            <w:tcW w:w="5360" w:type="dxa"/>
            <w:vAlign w:val="bottom"/>
            <w:tcBorders>
              <w:bottom w:val="single" w:sz="8" w:color="D9D9D9"/>
            </w:tcBorders>
            <w:shd w:val="clear" w:color="auto" w:fill="D9D9D9"/>
          </w:tcPr>
          <w:p>
            <w:pPr>
              <w:spacing w:after="0"/>
              <w:rPr>
                <w:sz w:val="15"/>
                <w:szCs w:val="15"/>
                <w:color w:val="auto"/>
              </w:rPr>
            </w:pPr>
          </w:p>
        </w:tc>
        <w:tc>
          <w:tcPr>
            <w:tcW w:w="820" w:type="dxa"/>
            <w:vAlign w:val="bottom"/>
            <w:tcBorders>
              <w:bottom w:val="single" w:sz="8" w:color="auto"/>
            </w:tcBorders>
            <w:shd w:val="clear" w:color="auto" w:fill="D9D9D9"/>
          </w:tcPr>
          <w:p>
            <w:pPr>
              <w:spacing w:after="0"/>
              <w:rPr>
                <w:sz w:val="15"/>
                <w:szCs w:val="15"/>
                <w:color w:val="auto"/>
              </w:rPr>
            </w:pPr>
          </w:p>
        </w:tc>
        <w:tc>
          <w:tcPr>
            <w:tcW w:w="340" w:type="dxa"/>
            <w:vAlign w:val="bottom"/>
            <w:tcBorders>
              <w:bottom w:val="single" w:sz="8" w:color="auto"/>
            </w:tcBorders>
            <w:shd w:val="clear" w:color="auto" w:fill="D9D9D9"/>
          </w:tcPr>
          <w:p>
            <w:pPr>
              <w:spacing w:after="0"/>
              <w:rPr>
                <w:sz w:val="15"/>
                <w:szCs w:val="15"/>
                <w:color w:val="auto"/>
              </w:rPr>
            </w:pPr>
          </w:p>
        </w:tc>
        <w:tc>
          <w:tcPr>
            <w:tcW w:w="58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1840" w:type="dxa"/>
            <w:vAlign w:val="bottom"/>
            <w:tcBorders>
              <w:bottom w:val="single" w:sz="8" w:color="auto"/>
            </w:tcBorders>
            <w:gridSpan w:val="5"/>
            <w:shd w:val="clear" w:color="auto" w:fill="D9D9D9"/>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80" w:type="dxa"/>
            <w:vAlign w:val="bottom"/>
            <w:tcBorders>
              <w:bottom w:val="single" w:sz="8" w:color="auto"/>
            </w:tcBorders>
            <w:shd w:val="clear" w:color="auto" w:fill="D9D9D9"/>
          </w:tcPr>
          <w:p>
            <w:pPr>
              <w:spacing w:after="0"/>
              <w:rPr>
                <w:sz w:val="15"/>
                <w:szCs w:val="15"/>
                <w:color w:val="auto"/>
              </w:rPr>
            </w:pPr>
          </w:p>
        </w:tc>
        <w:tc>
          <w:tcPr>
            <w:tcW w:w="340" w:type="dxa"/>
            <w:vAlign w:val="bottom"/>
            <w:tcBorders>
              <w:bottom w:val="single" w:sz="8" w:color="auto"/>
            </w:tcBorders>
            <w:shd w:val="clear" w:color="auto" w:fill="D9D9D9"/>
          </w:tcPr>
          <w:p>
            <w:pPr>
              <w:spacing w:after="0"/>
              <w:rPr>
                <w:sz w:val="15"/>
                <w:szCs w:val="15"/>
                <w:color w:val="auto"/>
              </w:rPr>
            </w:pPr>
          </w:p>
        </w:tc>
        <w:tc>
          <w:tcPr>
            <w:tcW w:w="300" w:type="dxa"/>
            <w:vAlign w:val="bottom"/>
            <w:tcBorders>
              <w:bottom w:val="single" w:sz="8" w:color="auto"/>
            </w:tcBorders>
            <w:shd w:val="clear" w:color="auto" w:fill="D9D9D9"/>
          </w:tcPr>
          <w:p>
            <w:pPr>
              <w:spacing w:after="0"/>
              <w:rPr>
                <w:sz w:val="15"/>
                <w:szCs w:val="15"/>
                <w:color w:val="auto"/>
              </w:rPr>
            </w:pPr>
          </w:p>
        </w:tc>
        <w:tc>
          <w:tcPr>
            <w:tcW w:w="920" w:type="dxa"/>
            <w:vAlign w:val="bottom"/>
            <w:tcBorders>
              <w:bottom w:val="single" w:sz="8" w:color="auto"/>
            </w:tcBorders>
            <w:shd w:val="clear" w:color="auto" w:fill="D9D9D9"/>
          </w:tcPr>
          <w:p>
            <w:pPr>
              <w:spacing w:after="0"/>
              <w:rPr>
                <w:sz w:val="15"/>
                <w:szCs w:val="15"/>
                <w:color w:val="auto"/>
              </w:rPr>
            </w:pPr>
          </w:p>
        </w:tc>
        <w:tc>
          <w:tcPr>
            <w:tcW w:w="20" w:type="dxa"/>
            <w:vAlign w:val="bottom"/>
            <w:tcBorders>
              <w:bottom w:val="single" w:sz="8" w:color="auto"/>
            </w:tcBorders>
            <w:shd w:val="clear" w:color="auto" w:fill="D9D9D9"/>
          </w:tcPr>
          <w:p>
            <w:pPr>
              <w:spacing w:after="0"/>
              <w:rPr>
                <w:sz w:val="15"/>
                <w:szCs w:val="15"/>
                <w:color w:val="auto"/>
              </w:rPr>
            </w:pPr>
          </w:p>
        </w:tc>
      </w:tr>
      <w:tr>
        <w:trPr>
          <w:trHeight w:val="182"/>
        </w:trPr>
        <w:tc>
          <w:tcPr>
            <w:tcW w:w="53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in millions)</w:t>
            </w:r>
          </w:p>
        </w:tc>
        <w:tc>
          <w:tcPr>
            <w:tcW w:w="820" w:type="dxa"/>
            <w:vAlign w:val="bottom"/>
            <w:tcBorders>
              <w:bottom w:val="single" w:sz="8" w:color="auto"/>
            </w:tcBorders>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shd w:val="clear" w:color="auto" w:fill="D9D9D9"/>
          </w:tcPr>
          <w:p>
            <w:pPr>
              <w:spacing w:after="0"/>
              <w:rPr>
                <w:sz w:val="15"/>
                <w:szCs w:val="15"/>
                <w:color w:val="auto"/>
              </w:rPr>
            </w:pPr>
          </w:p>
        </w:tc>
        <w:tc>
          <w:tcPr>
            <w:tcW w:w="840" w:type="dxa"/>
            <w:vAlign w:val="bottom"/>
            <w:tcBorders>
              <w:bottom w:val="single" w:sz="8" w:color="auto"/>
            </w:tcBorders>
            <w:gridSpan w:val="2"/>
            <w:shd w:val="clear" w:color="auto" w:fill="D9D9D9"/>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shd w:val="clear" w:color="auto" w:fill="D9D9D9"/>
          </w:tcPr>
          <w:p>
            <w:pPr>
              <w:spacing w:after="0"/>
              <w:rPr>
                <w:sz w:val="15"/>
                <w:szCs w:val="15"/>
                <w:color w:val="auto"/>
              </w:rPr>
            </w:pPr>
          </w:p>
        </w:tc>
        <w:tc>
          <w:tcPr>
            <w:tcW w:w="880" w:type="dxa"/>
            <w:vAlign w:val="bottom"/>
            <w:tcBorders>
              <w:bottom w:val="single" w:sz="8" w:color="auto"/>
            </w:tcBorders>
            <w:shd w:val="clear" w:color="auto" w:fill="D9D9D9"/>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tcBorders>
              <w:bottom w:val="single" w:sz="8" w:color="auto"/>
            </w:tcBorders>
            <w:shd w:val="clear" w:color="auto" w:fill="D9D9D9"/>
          </w:tcPr>
          <w:p>
            <w:pPr>
              <w:spacing w:after="0"/>
              <w:rPr>
                <w:sz w:val="15"/>
                <w:szCs w:val="15"/>
                <w:color w:val="auto"/>
              </w:rPr>
            </w:pPr>
          </w:p>
        </w:tc>
        <w:tc>
          <w:tcPr>
            <w:tcW w:w="26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480" w:type="dxa"/>
            <w:vAlign w:val="bottom"/>
            <w:tcBorders>
              <w:bottom w:val="single" w:sz="8" w:color="auto"/>
            </w:tcBorders>
            <w:shd w:val="clear" w:color="auto" w:fill="D9D9D9"/>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40" w:type="dxa"/>
            <w:vAlign w:val="bottom"/>
            <w:tcBorders>
              <w:bottom w:val="single" w:sz="8" w:color="auto"/>
            </w:tcBorders>
            <w:shd w:val="clear" w:color="auto" w:fill="D9D9D9"/>
          </w:tcPr>
          <w:p>
            <w:pPr>
              <w:spacing w:after="0"/>
              <w:rPr>
                <w:sz w:val="15"/>
                <w:szCs w:val="15"/>
                <w:color w:val="auto"/>
              </w:rPr>
            </w:pPr>
          </w:p>
        </w:tc>
        <w:tc>
          <w:tcPr>
            <w:tcW w:w="300" w:type="dxa"/>
            <w:vAlign w:val="bottom"/>
            <w:tcBorders>
              <w:bottom w:val="single" w:sz="8" w:color="auto"/>
            </w:tcBorders>
            <w:shd w:val="clear" w:color="auto" w:fill="D9D9D9"/>
          </w:tcPr>
          <w:p>
            <w:pPr>
              <w:spacing w:after="0"/>
              <w:rPr>
                <w:sz w:val="15"/>
                <w:szCs w:val="15"/>
                <w:color w:val="auto"/>
              </w:rPr>
            </w:pPr>
          </w:p>
        </w:tc>
        <w:tc>
          <w:tcPr>
            <w:tcW w:w="920" w:type="dxa"/>
            <w:vAlign w:val="bottom"/>
            <w:tcBorders>
              <w:bottom w:val="single" w:sz="8" w:color="auto"/>
            </w:tcBorders>
            <w:shd w:val="clear" w:color="auto" w:fill="D9D9D9"/>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2029</w:t>
            </w:r>
          </w:p>
        </w:tc>
        <w:tc>
          <w:tcPr>
            <w:tcW w:w="20" w:type="dxa"/>
            <w:vAlign w:val="bottom"/>
            <w:tcBorders>
              <w:bottom w:val="single" w:sz="8" w:color="auto"/>
            </w:tcBorders>
            <w:shd w:val="clear" w:color="auto" w:fill="D9D9D9"/>
          </w:tcPr>
          <w:p>
            <w:pPr>
              <w:spacing w:after="0"/>
              <w:rPr>
                <w:sz w:val="15"/>
                <w:szCs w:val="15"/>
                <w:color w:val="auto"/>
              </w:rPr>
            </w:pPr>
          </w:p>
        </w:tc>
      </w:tr>
      <w:tr>
        <w:trPr>
          <w:trHeight w:val="180"/>
        </w:trPr>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T-Mobile</w:t>
            </w:r>
          </w:p>
        </w:tc>
        <w:tc>
          <w:tcPr>
            <w:tcW w:w="8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8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5"/>
                <w:szCs w:val="15"/>
                <w:color w:val="auto"/>
              </w:rPr>
            </w:pPr>
          </w:p>
        </w:tc>
      </w:tr>
      <w:tr>
        <w:trPr>
          <w:trHeight w:val="192"/>
        </w:trPr>
        <w:tc>
          <w:tcPr>
            <w:tcW w:w="53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AT&amp;T</w:t>
            </w:r>
          </w:p>
        </w:tc>
        <w:tc>
          <w:tcPr>
            <w:tcW w:w="820" w:type="dxa"/>
            <w:vAlign w:val="bottom"/>
            <w:shd w:val="clear" w:color="auto" w:fill="DBE5F1"/>
          </w:tcPr>
          <w:p>
            <w:pPr>
              <w:spacing w:after="0"/>
              <w:rPr>
                <w:sz w:val="16"/>
                <w:szCs w:val="16"/>
                <w:color w:val="auto"/>
              </w:rPr>
            </w:pPr>
          </w:p>
        </w:tc>
        <w:tc>
          <w:tcPr>
            <w:tcW w:w="3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3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80" w:type="dxa"/>
            <w:vAlign w:val="bottom"/>
            <w:shd w:val="clear" w:color="auto" w:fill="DBE5F1"/>
          </w:tcPr>
          <w:p>
            <w:pPr>
              <w:spacing w:after="0"/>
              <w:rPr>
                <w:sz w:val="16"/>
                <w:szCs w:val="16"/>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3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20" w:type="dxa"/>
            <w:vAlign w:val="bottom"/>
            <w:shd w:val="clear" w:color="auto" w:fill="DBE5F1"/>
          </w:tcPr>
          <w:p>
            <w:pPr>
              <w:spacing w:after="0"/>
              <w:rPr>
                <w:sz w:val="16"/>
                <w:szCs w:val="16"/>
                <w:color w:val="auto"/>
              </w:rPr>
            </w:pPr>
          </w:p>
        </w:tc>
      </w:tr>
      <w:tr>
        <w:trPr>
          <w:trHeight w:val="187"/>
        </w:trPr>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Verizon</w:t>
            </w:r>
          </w:p>
        </w:tc>
        <w:tc>
          <w:tcPr>
            <w:tcW w:w="8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6"/>
                <w:szCs w:val="16"/>
                <w:color w:val="auto"/>
              </w:rPr>
            </w:pPr>
          </w:p>
        </w:tc>
      </w:tr>
      <w:tr>
        <w:trPr>
          <w:trHeight w:val="192"/>
        </w:trPr>
        <w:tc>
          <w:tcPr>
            <w:tcW w:w="53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All Others Combined</w:t>
            </w:r>
          </w:p>
        </w:tc>
        <w:tc>
          <w:tcPr>
            <w:tcW w:w="820" w:type="dxa"/>
            <w:vAlign w:val="bottom"/>
            <w:tcBorders>
              <w:bottom w:val="single" w:sz="8" w:color="auto"/>
            </w:tcBorders>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580" w:type="dxa"/>
            <w:vAlign w:val="bottom"/>
            <w:tcBorders>
              <w:bottom w:val="single" w:sz="8" w:color="auto"/>
            </w:tcBorders>
            <w:shd w:val="clear" w:color="auto" w:fill="DBE5F1"/>
          </w:tcPr>
          <w:p>
            <w:pPr>
              <w:spacing w:after="0"/>
              <w:rPr>
                <w:sz w:val="16"/>
                <w:szCs w:val="16"/>
                <w:color w:val="auto"/>
              </w:rPr>
            </w:pPr>
          </w:p>
        </w:tc>
        <w:tc>
          <w:tcPr>
            <w:tcW w:w="260" w:type="dxa"/>
            <w:vAlign w:val="bottom"/>
            <w:tcBorders>
              <w:bottom w:val="single" w:sz="8" w:color="auto"/>
            </w:tcBorders>
            <w:shd w:val="clear" w:color="auto" w:fill="DBE5F1"/>
          </w:tcPr>
          <w:p>
            <w:pPr>
              <w:spacing w:after="0"/>
              <w:rPr>
                <w:sz w:val="16"/>
                <w:szCs w:val="16"/>
                <w:color w:val="auto"/>
              </w:rPr>
            </w:pPr>
          </w:p>
        </w:tc>
        <w:tc>
          <w:tcPr>
            <w:tcW w:w="3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80" w:type="dxa"/>
            <w:vAlign w:val="bottom"/>
            <w:tcBorders>
              <w:bottom w:val="single" w:sz="8" w:color="auto"/>
            </w:tcBorders>
            <w:shd w:val="clear" w:color="auto" w:fill="DBE5F1"/>
          </w:tcPr>
          <w:p>
            <w:pPr>
              <w:spacing w:after="0"/>
              <w:rPr>
                <w:sz w:val="16"/>
                <w:szCs w:val="16"/>
                <w:color w:val="auto"/>
              </w:rPr>
            </w:pP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tcBorders>
              <w:bottom w:val="single" w:sz="8" w:color="auto"/>
            </w:tcBorders>
            <w:shd w:val="clear" w:color="auto" w:fill="DBE5F1"/>
          </w:tcPr>
          <w:p>
            <w:pPr>
              <w:spacing w:after="0"/>
              <w:rPr>
                <w:sz w:val="16"/>
                <w:szCs w:val="16"/>
                <w:color w:val="auto"/>
              </w:rPr>
            </w:pPr>
          </w:p>
        </w:tc>
        <w:tc>
          <w:tcPr>
            <w:tcW w:w="80" w:type="dxa"/>
            <w:vAlign w:val="bottom"/>
            <w:tcBorders>
              <w:bottom w:val="single" w:sz="8" w:color="auto"/>
            </w:tcBorders>
            <w:shd w:val="clear" w:color="auto" w:fill="DBE5F1"/>
          </w:tcPr>
          <w:p>
            <w:pPr>
              <w:spacing w:after="0"/>
              <w:rPr>
                <w:sz w:val="16"/>
                <w:szCs w:val="16"/>
                <w:color w:val="auto"/>
              </w:rPr>
            </w:pPr>
          </w:p>
        </w:tc>
        <w:tc>
          <w:tcPr>
            <w:tcW w:w="480" w:type="dxa"/>
            <w:vAlign w:val="bottom"/>
            <w:tcBorders>
              <w:bottom w:val="single" w:sz="8" w:color="auto"/>
            </w:tcBorders>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tcBorders>
              <w:bottom w:val="single" w:sz="8" w:color="auto"/>
            </w:tcBorders>
            <w:shd w:val="clear" w:color="auto" w:fill="DBE5F1"/>
          </w:tcPr>
          <w:p>
            <w:pPr>
              <w:spacing w:after="0"/>
              <w:rPr>
                <w:sz w:val="16"/>
                <w:szCs w:val="16"/>
                <w:color w:val="auto"/>
              </w:rPr>
            </w:pPr>
          </w:p>
        </w:tc>
        <w:tc>
          <w:tcPr>
            <w:tcW w:w="9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Borders>
              <w:bottom w:val="single" w:sz="8" w:color="auto"/>
            </w:tcBorders>
            <w:shd w:val="clear" w:color="auto" w:fill="DBE5F1"/>
          </w:tcPr>
          <w:p>
            <w:pPr>
              <w:spacing w:after="0"/>
              <w:rPr>
                <w:sz w:val="16"/>
                <w:szCs w:val="16"/>
                <w:color w:val="auto"/>
              </w:rPr>
            </w:pPr>
          </w:p>
        </w:tc>
      </w:tr>
      <w:tr>
        <w:trPr>
          <w:trHeight w:val="17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5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3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0" w:type="dxa"/>
            <w:vAlign w:val="bottom"/>
            <w:tcBorders>
              <w:bottom w:val="single" w:sz="8" w:color="auto"/>
            </w:tcBorders>
          </w:tcPr>
          <w:p>
            <w:pPr>
              <w:spacing w:after="0"/>
              <w:rPr>
                <w:sz w:val="15"/>
                <w:szCs w:val="15"/>
                <w:color w:val="auto"/>
              </w:rPr>
            </w:pP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third-party land interests.</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renewal terms at tenants' option.</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by site rental revenues.</w:t>
      </w: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by towers site rental gross margin exclusive of straight-lined revenues, amortization of prepaid rent and straight-lined expenses.</w:t>
      </w: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all renewal terms at the Company's option.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definitions and calculations of, Segment Cash Yield on Invested Capital and Segment Net Invested Capital.</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 and calculation of, Segment Adjusted Site Rental Gross Margin.</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for fourth quarter 2023 reflect revisions from previously disclosed amounts due to an immaterial error.</w:t>
      </w:r>
    </w:p>
    <w:p>
      <w:pPr>
        <w:ind w:left="285" w:right="20" w:hanging="285"/>
        <w:spacing w:after="0" w:line="244" w:lineRule="auto"/>
        <w:tabs>
          <w:tab w:leader="none" w:pos="27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net investment in property and equipment excludes the impact of construction in process and non-productive assets (such as information technology assets and buildings) and is reduced by the amount of prepaid rent received from tenants (excluding any deferred credits recorded in connection with acquisitions).</w:t>
      </w:r>
    </w:p>
    <w:p>
      <w:pPr>
        <w:ind w:left="265" w:hanging="265"/>
        <w:spacing w:after="0"/>
        <w:tabs>
          <w:tab w:leader="none" w:pos="26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investment in goodwill excludes the impact of certain assets and liabilities recorded in connection with acquisitions (primarily deferred credits).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lease renewals by year by tenant; dollar amounts represent annualized cash site rental revenues from assumed renewals or extensions as reflected in "</w:t>
      </w:r>
      <w:r>
        <w:rPr>
          <w:rFonts w:ascii="Times New Roman" w:cs="Times New Roman" w:eastAsia="Times New Roman" w:hAnsi="Times New Roman"/>
          <w:sz w:val="13"/>
          <w:szCs w:val="13"/>
          <w:i w:val="1"/>
          <w:iCs w:val="1"/>
          <w:color w:val="auto"/>
        </w:rPr>
        <w:t>Projected Revenues from Tenant Contracts</w:t>
      </w:r>
      <w:r>
        <w:rPr>
          <w:rFonts w:ascii="Times New Roman" w:cs="Times New Roman" w:eastAsia="Times New Roman" w:hAnsi="Times New Roman"/>
          <w:sz w:val="13"/>
          <w:szCs w:val="13"/>
          <w:color w:val="auto"/>
        </w:rPr>
        <w:t>" below.</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65"/>
          </w:cols>
          <w:pgMar w:left="315" w:top="120" w:right="319" w:bottom="1440" w:gutter="0" w:footer="0" w:header="0"/>
          <w:type w:val="continuous"/>
        </w:sectPr>
      </w:pPr>
    </w:p>
    <w:bookmarkStart w:id="52" w:name="page53"/>
    <w:bookmarkEnd w:id="52"/>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shd w:val="clear" w:color="auto" w:fill="CCC0DA"/>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TOWERS SEGMENT PROJECTED REVENUES FROM TENANT CONTRACTS</w:t>
      </w:r>
      <w:r>
        <w:rPr>
          <w:rFonts w:ascii="Times New Roman" w:cs="Times New Roman" w:eastAsia="Times New Roman" w:hAnsi="Times New Roman"/>
          <w:sz w:val="18"/>
          <w:szCs w:val="18"/>
          <w:b w:val="1"/>
          <w:bCs w:val="1"/>
          <w:color w:val="auto"/>
          <w:vertAlign w:val="superscript"/>
        </w:rPr>
        <w:t>(a)</w:t>
      </w:r>
    </w:p>
    <w:p>
      <w:pPr>
        <w:spacing w:after="0" w:line="142" w:lineRule="exact"/>
        <w:rPr>
          <w:sz w:val="20"/>
          <w:szCs w:val="20"/>
          <w:color w:val="auto"/>
        </w:rPr>
      </w:pPr>
    </w:p>
    <w:tbl>
      <w:tblPr>
        <w:tblLayout w:type="fixed"/>
        <w:tblInd w:w="5" w:type="dxa"/>
        <w:tblCellMar>
          <w:top w:w="0" w:type="dxa"/>
          <w:left w:w="0" w:type="dxa"/>
          <w:bottom w:w="0" w:type="dxa"/>
          <w:right w:w="0" w:type="dxa"/>
        </w:tblCellMar>
      </w:tblPr>
      <w:tr>
        <w:trPr>
          <w:trHeight w:val="198"/>
        </w:trPr>
        <w:tc>
          <w:tcPr>
            <w:tcW w:w="5260" w:type="dxa"/>
            <w:vAlign w:val="bottom"/>
            <w:tcBorders>
              <w:top w:val="single" w:sz="8" w:color="auto"/>
              <w:bottom w:val="single" w:sz="8" w:color="DBDBDB"/>
            </w:tcBorders>
            <w:shd w:val="clear" w:color="auto" w:fill="DBDBDB"/>
          </w:tcPr>
          <w:p>
            <w:pPr>
              <w:spacing w:after="0"/>
              <w:rPr>
                <w:sz w:val="17"/>
                <w:szCs w:val="17"/>
                <w:color w:val="auto"/>
              </w:rPr>
            </w:pPr>
          </w:p>
        </w:tc>
        <w:tc>
          <w:tcPr>
            <w:tcW w:w="280" w:type="dxa"/>
            <w:vAlign w:val="bottom"/>
            <w:tcBorders>
              <w:top w:val="single" w:sz="8" w:color="auto"/>
              <w:bottom w:val="single" w:sz="8" w:color="auto"/>
            </w:tcBorders>
            <w:shd w:val="clear" w:color="auto" w:fill="DBDBDB"/>
          </w:tcPr>
          <w:p>
            <w:pPr>
              <w:spacing w:after="0"/>
              <w:rPr>
                <w:sz w:val="17"/>
                <w:szCs w:val="17"/>
                <w:color w:val="auto"/>
              </w:rPr>
            </w:pPr>
          </w:p>
        </w:tc>
        <w:tc>
          <w:tcPr>
            <w:tcW w:w="900" w:type="dxa"/>
            <w:vAlign w:val="bottom"/>
            <w:tcBorders>
              <w:top w:val="single" w:sz="8" w:color="auto"/>
              <w:bottom w:val="single" w:sz="8" w:color="auto"/>
            </w:tcBorders>
            <w:shd w:val="clear" w:color="auto" w:fill="DBDBDB"/>
          </w:tcPr>
          <w:p>
            <w:pPr>
              <w:spacing w:after="0"/>
              <w:rPr>
                <w:sz w:val="17"/>
                <w:szCs w:val="17"/>
                <w:color w:val="auto"/>
              </w:rPr>
            </w:pPr>
          </w:p>
        </w:tc>
        <w:tc>
          <w:tcPr>
            <w:tcW w:w="300" w:type="dxa"/>
            <w:vAlign w:val="bottom"/>
            <w:tcBorders>
              <w:top w:val="single" w:sz="8" w:color="auto"/>
              <w:bottom w:val="single" w:sz="8" w:color="auto"/>
            </w:tcBorders>
            <w:shd w:val="clear" w:color="auto" w:fill="DBDBDB"/>
          </w:tcPr>
          <w:p>
            <w:pPr>
              <w:spacing w:after="0"/>
              <w:rPr>
                <w:sz w:val="17"/>
                <w:szCs w:val="17"/>
                <w:color w:val="auto"/>
              </w:rPr>
            </w:pPr>
          </w:p>
        </w:tc>
        <w:tc>
          <w:tcPr>
            <w:tcW w:w="3300" w:type="dxa"/>
            <w:vAlign w:val="bottom"/>
            <w:tcBorders>
              <w:top w:val="single" w:sz="8" w:color="auto"/>
              <w:bottom w:val="single" w:sz="8" w:color="auto"/>
            </w:tcBorders>
            <w:gridSpan w:val="6"/>
            <w:shd w:val="clear" w:color="auto" w:fill="DBDBDB"/>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Borders>
              <w:top w:val="single" w:sz="8" w:color="auto"/>
              <w:bottom w:val="single" w:sz="8" w:color="auto"/>
            </w:tcBorders>
            <w:shd w:val="clear" w:color="auto" w:fill="DBDBDB"/>
          </w:tcPr>
          <w:p>
            <w:pPr>
              <w:spacing w:after="0"/>
              <w:rPr>
                <w:sz w:val="17"/>
                <w:szCs w:val="17"/>
                <w:color w:val="auto"/>
              </w:rPr>
            </w:pPr>
          </w:p>
        </w:tc>
        <w:tc>
          <w:tcPr>
            <w:tcW w:w="940" w:type="dxa"/>
            <w:vAlign w:val="bottom"/>
            <w:tcBorders>
              <w:top w:val="single" w:sz="8" w:color="auto"/>
              <w:bottom w:val="single" w:sz="8" w:color="auto"/>
            </w:tcBorders>
            <w:shd w:val="clear" w:color="auto" w:fill="DBDBDB"/>
          </w:tcPr>
          <w:p>
            <w:pPr>
              <w:spacing w:after="0"/>
              <w:rPr>
                <w:sz w:val="17"/>
                <w:szCs w:val="17"/>
                <w:color w:val="auto"/>
              </w:rPr>
            </w:pPr>
          </w:p>
        </w:tc>
      </w:tr>
      <w:tr>
        <w:trPr>
          <w:trHeight w:val="182"/>
        </w:trPr>
        <w:tc>
          <w:tcPr>
            <w:tcW w:w="52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in millions)</w:t>
            </w:r>
          </w:p>
        </w:tc>
        <w:tc>
          <w:tcPr>
            <w:tcW w:w="28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site rental revenues: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5260" w:type="dxa"/>
            <w:vAlign w:val="bottom"/>
            <w:shd w:val="clear" w:color="auto" w:fill="DBE5F1"/>
          </w:tcPr>
          <w:p>
            <w:pPr>
              <w:ind w:left="260"/>
              <w:spacing w:after="0" w:line="192"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(b)</w:t>
            </w:r>
          </w:p>
        </w:tc>
        <w:tc>
          <w:tcPr>
            <w:tcW w:w="28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30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28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4,340</w:t>
            </w:r>
          </w:p>
        </w:tc>
      </w:tr>
      <w:tr>
        <w:trPr>
          <w:trHeight w:val="187"/>
        </w:trPr>
        <w:tc>
          <w:tcPr>
            <w:tcW w:w="5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2"/>
        </w:trPr>
        <w:tc>
          <w:tcPr>
            <w:tcW w:w="5260" w:type="dxa"/>
            <w:vAlign w:val="bottom"/>
            <w:shd w:val="clear" w:color="auto" w:fill="DBE5F1"/>
          </w:tcPr>
          <w:p>
            <w:pPr>
              <w:ind w:left="260"/>
              <w:spacing w:after="0"/>
              <w:rPr>
                <w:sz w:val="20"/>
                <w:szCs w:val="20"/>
                <w:color w:val="auto"/>
              </w:rPr>
            </w:pPr>
            <w:r>
              <w:rPr>
                <w:rFonts w:ascii="Times New Roman" w:cs="Times New Roman" w:eastAsia="Times New Roman" w:hAnsi="Times New Roman"/>
                <w:sz w:val="14"/>
                <w:szCs w:val="14"/>
                <w:color w:val="auto"/>
              </w:rPr>
              <w:t>Straight-lined revenues</w:t>
            </w:r>
          </w:p>
        </w:tc>
        <w:tc>
          <w:tcPr>
            <w:tcW w:w="280" w:type="dxa"/>
            <w:vAlign w:val="bottom"/>
            <w:tcBorders>
              <w:bottom w:val="single" w:sz="8" w:color="auto"/>
            </w:tcBorders>
            <w:shd w:val="clear" w:color="auto" w:fill="DBE5F1"/>
          </w:tcPr>
          <w:p>
            <w:pPr>
              <w:spacing w:after="0"/>
              <w:rPr>
                <w:sz w:val="16"/>
                <w:szCs w:val="16"/>
                <w:color w:val="auto"/>
              </w:rPr>
            </w:pP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00" w:type="dxa"/>
            <w:vAlign w:val="bottom"/>
            <w:tcBorders>
              <w:bottom w:val="single" w:sz="8" w:color="auto"/>
            </w:tcBorders>
            <w:shd w:val="clear" w:color="auto" w:fill="DBE5F1"/>
          </w:tcPr>
          <w:p>
            <w:pPr>
              <w:spacing w:after="0"/>
              <w:rPr>
                <w:sz w:val="16"/>
                <w:szCs w:val="16"/>
                <w:color w:val="auto"/>
              </w:rPr>
            </w:pPr>
          </w:p>
        </w:tc>
        <w:tc>
          <w:tcPr>
            <w:tcW w:w="9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Borders>
              <w:bottom w:val="single" w:sz="8" w:color="auto"/>
            </w:tcBorders>
            <w:shd w:val="clear" w:color="auto" w:fill="DBE5F1"/>
          </w:tcPr>
          <w:p>
            <w:pPr>
              <w:spacing w:after="0"/>
              <w:rPr>
                <w:sz w:val="16"/>
                <w:szCs w:val="16"/>
                <w:color w:val="auto"/>
              </w:rPr>
            </w:pPr>
          </w:p>
        </w:tc>
        <w:tc>
          <w:tcPr>
            <w:tcW w:w="94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auto"/>
            </w:tcBorders>
            <w:shd w:val="clear" w:color="auto" w:fill="DBE5F1"/>
          </w:tcPr>
          <w:p>
            <w:pPr>
              <w:spacing w:after="0"/>
              <w:rPr>
                <w:sz w:val="16"/>
                <w:szCs w:val="16"/>
                <w:color w:val="auto"/>
              </w:rPr>
            </w:pPr>
          </w:p>
        </w:tc>
        <w:tc>
          <w:tcPr>
            <w:tcW w:w="1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80" w:type="dxa"/>
            <w:vAlign w:val="bottom"/>
            <w:tcBorders>
              <w:bottom w:val="single" w:sz="8" w:color="auto"/>
            </w:tcBorders>
            <w:shd w:val="clear" w:color="auto" w:fill="DBE5F1"/>
          </w:tcPr>
          <w:p>
            <w:pPr>
              <w:spacing w:after="0"/>
              <w:rPr>
                <w:sz w:val="16"/>
                <w:szCs w:val="16"/>
                <w:color w:val="auto"/>
              </w:rPr>
            </w:pPr>
          </w:p>
        </w:tc>
        <w:tc>
          <w:tcPr>
            <w:tcW w:w="9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7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Site rental revenues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4,003</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3,986</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4,161</w:t>
            </w:r>
          </w:p>
        </w:tc>
      </w:tr>
      <w:tr>
        <w:trPr>
          <w:trHeight w:val="20"/>
        </w:trPr>
        <w:tc>
          <w:tcPr>
            <w:tcW w:w="5260" w:type="dxa"/>
            <w:vAlign w:val="bottom"/>
          </w:tcPr>
          <w:p>
            <w:pPr>
              <w:spacing w:after="0" w:line="20" w:lineRule="exact"/>
              <w:rPr>
                <w:sz w:val="1"/>
                <w:szCs w:val="1"/>
                <w:color w:val="auto"/>
              </w:rPr>
            </w:pPr>
          </w:p>
        </w:tc>
        <w:tc>
          <w:tcPr>
            <w:tcW w:w="3680" w:type="dxa"/>
            <w:vAlign w:val="bottom"/>
            <w:tcBorders>
              <w:bottom w:val="single" w:sz="8" w:color="auto"/>
            </w:tcBorders>
            <w:gridSpan w:val="8"/>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84"/>
        </w:trPr>
        <w:tc>
          <w:tcPr>
            <w:tcW w:w="89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TOWERS SEGMENT PROJECTED EXPENSES FROM EXISTING GROUND LEASES AGREEMENTS</w:t>
            </w:r>
            <w:r>
              <w:rPr>
                <w:rFonts w:ascii="Times New Roman" w:cs="Times New Roman" w:eastAsia="Times New Roman" w:hAnsi="Times New Roman"/>
                <w:sz w:val="18"/>
                <w:szCs w:val="18"/>
                <w:b w:val="1"/>
                <w:bCs w:val="1"/>
                <w:color w:val="auto"/>
                <w:vertAlign w:val="superscript"/>
              </w:rPr>
              <w:t>(c)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3"/>
        </w:trPr>
        <w:tc>
          <w:tcPr>
            <w:tcW w:w="5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gridSpan w:val="6"/>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78"/>
        </w:trPr>
        <w:tc>
          <w:tcPr>
            <w:tcW w:w="52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spacing w:after="0"/>
              <w:rPr>
                <w:sz w:val="15"/>
                <w:szCs w:val="15"/>
                <w:color w:val="auto"/>
              </w:rPr>
            </w:pPr>
          </w:p>
        </w:tc>
        <w:tc>
          <w:tcPr>
            <w:tcW w:w="300" w:type="dxa"/>
            <w:vAlign w:val="bottom"/>
            <w:tcBorders>
              <w:bottom w:val="single" w:sz="8" w:color="auto"/>
            </w:tcBorders>
            <w:shd w:val="clear" w:color="auto" w:fill="DBDBDB"/>
          </w:tcPr>
          <w:p>
            <w:pPr>
              <w:spacing w:after="0"/>
              <w:rPr>
                <w:sz w:val="15"/>
                <w:szCs w:val="15"/>
                <w:color w:val="auto"/>
              </w:rPr>
            </w:pPr>
          </w:p>
        </w:tc>
        <w:tc>
          <w:tcPr>
            <w:tcW w:w="3300" w:type="dxa"/>
            <w:vAlign w:val="bottom"/>
            <w:tcBorders>
              <w:bottom w:val="single" w:sz="8" w:color="auto"/>
            </w:tcBorders>
            <w:gridSpan w:val="6"/>
            <w:shd w:val="clear" w:color="auto" w:fill="DBDBDB"/>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spacing w:after="0"/>
              <w:rPr>
                <w:sz w:val="15"/>
                <w:szCs w:val="15"/>
                <w:color w:val="auto"/>
              </w:rPr>
            </w:pPr>
          </w:p>
        </w:tc>
      </w:tr>
      <w:tr>
        <w:trPr>
          <w:trHeight w:val="182"/>
        </w:trPr>
        <w:tc>
          <w:tcPr>
            <w:tcW w:w="52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in millions)</w:t>
            </w:r>
          </w:p>
        </w:tc>
        <w:tc>
          <w:tcPr>
            <w:tcW w:w="28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180"/>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ground lease agreement expenses: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5260" w:type="dxa"/>
            <w:vAlign w:val="bottom"/>
            <w:shd w:val="clear" w:color="auto" w:fill="DBE5F1"/>
          </w:tcPr>
          <w:p>
            <w:pPr>
              <w:ind w:left="260"/>
              <w:spacing w:after="0"/>
              <w:rPr>
                <w:sz w:val="20"/>
                <w:szCs w:val="20"/>
                <w:color w:val="auto"/>
              </w:rPr>
            </w:pPr>
            <w:r>
              <w:rPr>
                <w:rFonts w:ascii="Times New Roman" w:cs="Times New Roman" w:eastAsia="Times New Roman" w:hAnsi="Times New Roman"/>
                <w:sz w:val="14"/>
                <w:szCs w:val="14"/>
                <w:color w:val="auto"/>
              </w:rPr>
              <w:t>Ground lease agreement expenses exclusive of straight-lined expenses</w:t>
            </w:r>
          </w:p>
        </w:tc>
        <w:tc>
          <w:tcPr>
            <w:tcW w:w="28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30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DBE5F1"/>
          </w:tcPr>
          <w:p>
            <w:pPr>
              <w:spacing w:after="0"/>
              <w:rPr>
                <w:sz w:val="16"/>
                <w:szCs w:val="16"/>
                <w:color w:val="auto"/>
              </w:rPr>
            </w:pPr>
          </w:p>
        </w:tc>
        <w:tc>
          <w:tcPr>
            <w:tcW w:w="2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95"/>
              </w:rPr>
              <w:t>740</w:t>
            </w:r>
          </w:p>
        </w:tc>
        <w:tc>
          <w:tcPr>
            <w:tcW w:w="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28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780</w:t>
            </w:r>
          </w:p>
        </w:tc>
      </w:tr>
      <w:tr>
        <w:trPr>
          <w:trHeight w:val="187"/>
        </w:trPr>
        <w:tc>
          <w:tcPr>
            <w:tcW w:w="5260" w:type="dxa"/>
            <w:vAlign w:val="bottom"/>
            <w:tcBorders>
              <w:bottom w:val="single" w:sz="8" w:color="DBE5F1"/>
            </w:tcBorders>
          </w:tcPr>
          <w:p>
            <w:pPr>
              <w:ind w:left="260"/>
              <w:spacing w:after="0"/>
              <w:rPr>
                <w:sz w:val="20"/>
                <w:szCs w:val="20"/>
                <w:color w:val="auto"/>
              </w:rPr>
            </w:pPr>
            <w:r>
              <w:rPr>
                <w:rFonts w:ascii="Times New Roman" w:cs="Times New Roman" w:eastAsia="Times New Roman" w:hAnsi="Times New Roman"/>
                <w:sz w:val="14"/>
                <w:szCs w:val="14"/>
                <w:color w:val="auto"/>
              </w:rPr>
              <w:t>Straight-lined expenses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526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Ground lease agreement expenses</w:t>
            </w:r>
          </w:p>
        </w:tc>
        <w:tc>
          <w:tcPr>
            <w:tcW w:w="28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300" w:type="dxa"/>
            <w:vAlign w:val="bottom"/>
            <w:tcBorders>
              <w:bottom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26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DBE5F1"/>
          </w:tcPr>
          <w:p>
            <w:pPr>
              <w:spacing w:after="0"/>
              <w:rPr>
                <w:sz w:val="17"/>
                <w:szCs w:val="17"/>
                <w:color w:val="auto"/>
              </w:rPr>
            </w:pPr>
          </w:p>
        </w:tc>
        <w:tc>
          <w:tcPr>
            <w:tcW w:w="2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95"/>
              </w:rPr>
              <w:t>768</w:t>
            </w:r>
          </w:p>
        </w:tc>
        <w:tc>
          <w:tcPr>
            <w:tcW w:w="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8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787</w:t>
            </w:r>
          </w:p>
        </w:tc>
      </w:tr>
      <w:tr>
        <w:trPr>
          <w:trHeight w:val="20"/>
        </w:trPr>
        <w:tc>
          <w:tcPr>
            <w:tcW w:w="5260" w:type="dxa"/>
            <w:vAlign w:val="bottom"/>
            <w:tcBorders>
              <w:top w:val="single" w:sz="8" w:color="DBE5F1"/>
            </w:tcBorders>
          </w:tcPr>
          <w:p>
            <w:pPr>
              <w:spacing w:after="0" w:line="20" w:lineRule="exact"/>
              <w:rPr>
                <w:sz w:val="1"/>
                <w:szCs w:val="1"/>
                <w:color w:val="auto"/>
              </w:rPr>
            </w:pPr>
          </w:p>
        </w:tc>
        <w:tc>
          <w:tcPr>
            <w:tcW w:w="2400" w:type="dxa"/>
            <w:vAlign w:val="bottom"/>
            <w:tcBorders>
              <w:top w:val="single" w:sz="8" w:color="DBE5F1"/>
              <w:bottom w:val="single" w:sz="8" w:color="auto"/>
            </w:tcBorders>
            <w:gridSpan w:val="4"/>
          </w:tcPr>
          <w:p>
            <w:pPr>
              <w:spacing w:after="0" w:line="20" w:lineRule="exact"/>
              <w:rPr>
                <w:sz w:val="1"/>
                <w:szCs w:val="1"/>
                <w:color w:val="auto"/>
              </w:rPr>
            </w:pPr>
          </w:p>
        </w:tc>
        <w:tc>
          <w:tcPr>
            <w:tcW w:w="260" w:type="dxa"/>
            <w:vAlign w:val="bottom"/>
            <w:tcBorders>
              <w:top w:val="single" w:sz="8" w:color="DBE5F1"/>
              <w:bottom w:val="single" w:sz="8" w:color="auto"/>
            </w:tcBorders>
          </w:tcPr>
          <w:p>
            <w:pPr>
              <w:spacing w:after="0" w:line="20" w:lineRule="exact"/>
              <w:rPr>
                <w:sz w:val="1"/>
                <w:szCs w:val="1"/>
                <w:color w:val="auto"/>
              </w:rPr>
            </w:pPr>
          </w:p>
        </w:tc>
        <w:tc>
          <w:tcPr>
            <w:tcW w:w="660" w:type="dxa"/>
            <w:vAlign w:val="bottom"/>
            <w:tcBorders>
              <w:top w:val="single" w:sz="8" w:color="DBE5F1"/>
              <w:bottom w:val="single" w:sz="8" w:color="auto"/>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1100" w:type="dxa"/>
            <w:vAlign w:val="bottom"/>
            <w:tcBorders>
              <w:top w:val="single" w:sz="8" w:color="DBE5F1"/>
              <w:bottom w:val="single" w:sz="8" w:color="auto"/>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940" w:type="dxa"/>
            <w:vAlign w:val="bottom"/>
            <w:tcBorders>
              <w:top w:val="single" w:sz="8" w:color="DBE5F1"/>
              <w:bottom w:val="single" w:sz="8" w:color="auto"/>
            </w:tcBorders>
          </w:tcPr>
          <w:p>
            <w:pPr>
              <w:spacing w:after="0" w:line="20" w:lineRule="exact"/>
              <w:rPr>
                <w:sz w:val="1"/>
                <w:szCs w:val="1"/>
                <w:color w:val="auto"/>
              </w:rPr>
            </w:pPr>
          </w:p>
        </w:tc>
      </w:tr>
      <w:tr>
        <w:trPr>
          <w:trHeight w:val="395"/>
        </w:trPr>
        <w:tc>
          <w:tcPr>
            <w:tcW w:w="7660" w:type="dxa"/>
            <w:vAlign w:val="bottom"/>
            <w:tcBorders>
              <w:bottom w:val="single" w:sz="8" w:color="auto"/>
            </w:tcBorders>
            <w:gridSpan w:val="5"/>
          </w:tcPr>
          <w:p>
            <w:pPr>
              <w:ind w:left="3880"/>
              <w:spacing w:after="0"/>
              <w:rPr>
                <w:sz w:val="20"/>
                <w:szCs w:val="20"/>
                <w:color w:val="auto"/>
              </w:rPr>
            </w:pPr>
            <w:r>
              <w:rPr>
                <w:rFonts w:ascii="Times New Roman" w:cs="Times New Roman" w:eastAsia="Times New Roman" w:hAnsi="Times New Roman"/>
                <w:sz w:val="14"/>
                <w:szCs w:val="14"/>
                <w:b w:val="1"/>
                <w:bCs w:val="1"/>
                <w:color w:val="auto"/>
              </w:rPr>
              <w:t>SUMMARY OF TOWER PORTFOLIO BY VINTAGE</w:t>
            </w:r>
            <w:r>
              <w:rPr>
                <w:rFonts w:ascii="Times New Roman" w:cs="Times New Roman" w:eastAsia="Times New Roman" w:hAnsi="Times New Roman"/>
                <w:sz w:val="18"/>
                <w:szCs w:val="18"/>
                <w:b w:val="1"/>
                <w:bCs w:val="1"/>
                <w:color w:val="auto"/>
                <w:vertAlign w:val="superscript"/>
              </w:rPr>
              <w:t>(d)</w:t>
            </w: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0"/>
        </w:trPr>
        <w:tc>
          <w:tcPr>
            <w:tcW w:w="526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 in thousands)</w:t>
            </w:r>
          </w:p>
        </w:tc>
        <w:tc>
          <w:tcPr>
            <w:tcW w:w="280" w:type="dxa"/>
            <w:vAlign w:val="bottom"/>
            <w:tcBorders>
              <w:bottom w:val="single" w:sz="8" w:color="auto"/>
            </w:tcBorders>
            <w:shd w:val="clear" w:color="auto" w:fill="D9D9D9"/>
          </w:tcPr>
          <w:p>
            <w:pPr>
              <w:spacing w:after="0"/>
              <w:rPr>
                <w:sz w:val="15"/>
                <w:szCs w:val="15"/>
                <w:color w:val="auto"/>
              </w:rPr>
            </w:pPr>
          </w:p>
        </w:tc>
        <w:tc>
          <w:tcPr>
            <w:tcW w:w="900" w:type="dxa"/>
            <w:vAlign w:val="bottom"/>
            <w:tcBorders>
              <w:bottom w:val="single" w:sz="8" w:color="auto"/>
            </w:tcBorders>
            <w:shd w:val="clear" w:color="auto" w:fill="D9D9D9"/>
          </w:tcPr>
          <w:p>
            <w:pPr>
              <w:spacing w:after="0"/>
              <w:rPr>
                <w:sz w:val="15"/>
                <w:szCs w:val="15"/>
                <w:color w:val="auto"/>
              </w:rPr>
            </w:pPr>
          </w:p>
        </w:tc>
        <w:tc>
          <w:tcPr>
            <w:tcW w:w="2140" w:type="dxa"/>
            <w:vAlign w:val="bottom"/>
            <w:tcBorders>
              <w:bottom w:val="single" w:sz="8" w:color="auto"/>
            </w:tcBorders>
            <w:gridSpan w:val="4"/>
            <w:shd w:val="clear" w:color="auto" w:fill="D9D9D9"/>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and Built 2006 and Prior</w:t>
            </w:r>
          </w:p>
        </w:tc>
        <w:tc>
          <w:tcPr>
            <w:tcW w:w="280" w:type="dxa"/>
            <w:vAlign w:val="bottom"/>
            <w:tcBorders>
              <w:bottom w:val="single" w:sz="8" w:color="auto"/>
            </w:tcBorders>
            <w:shd w:val="clear" w:color="auto" w:fill="D9D9D9"/>
          </w:tcPr>
          <w:p>
            <w:pPr>
              <w:spacing w:after="0"/>
              <w:rPr>
                <w:sz w:val="15"/>
                <w:szCs w:val="15"/>
                <w:color w:val="auto"/>
              </w:rPr>
            </w:pPr>
          </w:p>
        </w:tc>
        <w:tc>
          <w:tcPr>
            <w:tcW w:w="80" w:type="dxa"/>
            <w:vAlign w:val="bottom"/>
            <w:tcBorders>
              <w:bottom w:val="single" w:sz="8" w:color="auto"/>
            </w:tcBorders>
            <w:shd w:val="clear" w:color="auto" w:fill="D9D9D9"/>
          </w:tcPr>
          <w:p>
            <w:pPr>
              <w:spacing w:after="0"/>
              <w:rPr>
                <w:sz w:val="15"/>
                <w:szCs w:val="15"/>
                <w:color w:val="auto"/>
              </w:rPr>
            </w:pPr>
          </w:p>
        </w:tc>
        <w:tc>
          <w:tcPr>
            <w:tcW w:w="2320" w:type="dxa"/>
            <w:vAlign w:val="bottom"/>
            <w:tcBorders>
              <w:bottom w:val="single" w:sz="8" w:color="auto"/>
            </w:tcBorders>
            <w:gridSpan w:val="3"/>
            <w:shd w:val="clear" w:color="auto" w:fill="D9D9D9"/>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99"/>
              </w:rPr>
              <w:t>Acquired and Built 2007 to Present</w:t>
            </w:r>
          </w:p>
        </w:tc>
      </w:tr>
      <w:tr>
        <w:trPr>
          <w:trHeight w:val="182"/>
        </w:trPr>
        <w:tc>
          <w:tcPr>
            <w:tcW w:w="526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color w:val="auto"/>
              </w:rPr>
              <w:t>Cash yield</w:t>
            </w:r>
            <w:r>
              <w:rPr>
                <w:rFonts w:ascii="Times New Roman" w:cs="Times New Roman" w:eastAsia="Times New Roman" w:hAnsi="Times New Roman"/>
                <w:sz w:val="18"/>
                <w:szCs w:val="18"/>
                <w:color w:val="auto"/>
                <w:vertAlign w:val="superscript"/>
              </w:rPr>
              <w:t>(e)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9"/>
        </w:trPr>
        <w:tc>
          <w:tcPr>
            <w:tcW w:w="52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Number of tenants per tower</w:t>
            </w:r>
          </w:p>
        </w:tc>
        <w:tc>
          <w:tcPr>
            <w:tcW w:w="280" w:type="dxa"/>
            <w:vAlign w:val="bottom"/>
            <w:shd w:val="clear" w:color="auto" w:fill="DBE5F1"/>
          </w:tcPr>
          <w:p>
            <w:pPr>
              <w:spacing w:after="0"/>
              <w:rPr>
                <w:sz w:val="16"/>
                <w:szCs w:val="16"/>
                <w:color w:val="auto"/>
              </w:rPr>
            </w:pPr>
          </w:p>
        </w:tc>
        <w:tc>
          <w:tcPr>
            <w:tcW w:w="90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10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94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52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Last quarter annualized average cash site rental revenue per tower</w:t>
            </w:r>
            <w:r>
              <w:rPr>
                <w:rFonts w:ascii="Times New Roman" w:cs="Times New Roman" w:eastAsia="Times New Roman" w:hAnsi="Times New Roman"/>
                <w:sz w:val="18"/>
                <w:szCs w:val="18"/>
                <w:color w:val="auto"/>
                <w:vertAlign w:val="superscript"/>
              </w:rPr>
              <w:t>(f)</w:t>
            </w:r>
          </w:p>
        </w:tc>
        <w:tc>
          <w:tcPr>
            <w:tcW w:w="28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86</w:t>
            </w:r>
          </w:p>
        </w:tc>
      </w:tr>
      <w:tr>
        <w:trPr>
          <w:trHeight w:val="189"/>
        </w:trPr>
        <w:tc>
          <w:tcPr>
            <w:tcW w:w="526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Last quarter annualized average site rental gross cash margin per tower</w:t>
            </w:r>
            <w:r>
              <w:rPr>
                <w:rFonts w:ascii="Times New Roman" w:cs="Times New Roman" w:eastAsia="Times New Roman" w:hAnsi="Times New Roman"/>
                <w:sz w:val="18"/>
                <w:szCs w:val="18"/>
                <w:color w:val="auto"/>
                <w:vertAlign w:val="superscript"/>
              </w:rPr>
              <w:t>(g)</w:t>
            </w:r>
          </w:p>
        </w:tc>
        <w:tc>
          <w:tcPr>
            <w:tcW w:w="280" w:type="dxa"/>
            <w:vAlign w:val="bottom"/>
            <w:shd w:val="clear" w:color="auto" w:fill="DBE5F1"/>
          </w:tcPr>
          <w:p>
            <w:pPr>
              <w:spacing w:after="0"/>
              <w:rPr>
                <w:sz w:val="16"/>
                <w:szCs w:val="16"/>
                <w:color w:val="auto"/>
              </w:rPr>
            </w:pPr>
          </w:p>
        </w:tc>
        <w:tc>
          <w:tcPr>
            <w:tcW w:w="90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6"/>
                <w:szCs w:val="16"/>
                <w:color w:val="auto"/>
              </w:rPr>
            </w:pPr>
          </w:p>
        </w:tc>
        <w:tc>
          <w:tcPr>
            <w:tcW w:w="110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94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62</w:t>
            </w:r>
          </w:p>
        </w:tc>
      </w:tr>
      <w:tr>
        <w:trPr>
          <w:trHeight w:val="189"/>
        </w:trPr>
        <w:tc>
          <w:tcPr>
            <w:tcW w:w="526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Net invested capital per tower</w:t>
            </w:r>
            <w:r>
              <w:rPr>
                <w:rFonts w:ascii="Times New Roman" w:cs="Times New Roman" w:eastAsia="Times New Roman" w:hAnsi="Times New Roman"/>
                <w:sz w:val="18"/>
                <w:szCs w:val="18"/>
                <w:color w:val="auto"/>
                <w:vertAlign w:val="superscript"/>
              </w:rPr>
              <w:t>(h)</w:t>
            </w:r>
          </w:p>
        </w:tc>
        <w:tc>
          <w:tcPr>
            <w:tcW w:w="28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588</w:t>
            </w:r>
          </w:p>
        </w:tc>
      </w:tr>
      <w:tr>
        <w:trPr>
          <w:trHeight w:val="189"/>
        </w:trPr>
        <w:tc>
          <w:tcPr>
            <w:tcW w:w="52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Number of towers</w:t>
            </w:r>
          </w:p>
        </w:tc>
        <w:tc>
          <w:tcPr>
            <w:tcW w:w="280" w:type="dxa"/>
            <w:vAlign w:val="bottom"/>
            <w:shd w:val="clear" w:color="auto" w:fill="DBE5F1"/>
          </w:tcPr>
          <w:p>
            <w:pPr>
              <w:spacing w:after="0"/>
              <w:rPr>
                <w:sz w:val="16"/>
                <w:szCs w:val="16"/>
                <w:color w:val="auto"/>
              </w:rPr>
            </w:pPr>
          </w:p>
        </w:tc>
        <w:tc>
          <w:tcPr>
            <w:tcW w:w="90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92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11,193</w:t>
            </w:r>
          </w:p>
        </w:tc>
        <w:tc>
          <w:tcPr>
            <w:tcW w:w="2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10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94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28,839</w:t>
            </w:r>
          </w:p>
        </w:tc>
      </w:tr>
    </w:tbl>
    <w:p>
      <w:pPr>
        <w:spacing w:after="0" w:line="205" w:lineRule="exact"/>
        <w:rPr>
          <w:sz w:val="20"/>
          <w:szCs w:val="20"/>
          <w:color w:val="auto"/>
        </w:rPr>
      </w:pPr>
    </w:p>
    <w:p>
      <w:pPr>
        <w:ind w:left="285" w:right="20" w:hanging="285"/>
        <w:spacing w:after="0" w:line="255" w:lineRule="auto"/>
        <w:tabs>
          <w:tab w:leader="none" w:pos="28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Towers segment tenant licenses in place as of December 31, 2024. All tenant licenses are assumed to renew for a new term no later than the respective current term end date, and as such, projected revenues do not reflect the impact of estimated annual churn. CPI-linked tenant contracts are assumed to escalate at 3% per annum.</w:t>
      </w:r>
    </w:p>
    <w:p>
      <w:pPr>
        <w:ind w:left="285" w:hanging="285"/>
        <w:spacing w:after="0" w:line="233" w:lineRule="auto"/>
        <w:tabs>
          <w:tab w:leader="none" w:pos="28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 of site rental billings.</w:t>
      </w:r>
    </w:p>
    <w:p>
      <w:pPr>
        <w:ind w:left="285" w:hanging="285"/>
        <w:spacing w:after="0"/>
        <w:tabs>
          <w:tab w:leader="none" w:pos="28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Towers segment existing ground leases and fiber access agreements as of December 31, 2024. CPI-linked contracts are assumed to escalate at 3% per annum.</w:t>
      </w:r>
    </w:p>
    <w:p>
      <w:pPr>
        <w:ind w:left="285" w:hanging="285"/>
        <w:spacing w:after="0"/>
        <w:tabs>
          <w:tab w:leader="none" w:pos="28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tower portfolio figures are calculated exclusively for the Company's towers and rooftops and do not give effect to other activities within the Company's Towers segment.</w:t>
      </w:r>
    </w:p>
    <w:p>
      <w:pPr>
        <w:spacing w:after="0" w:line="4" w:lineRule="exact"/>
        <w:rPr>
          <w:rFonts w:ascii="Times New Roman" w:cs="Times New Roman" w:eastAsia="Times New Roman" w:hAnsi="Times New Roman"/>
          <w:sz w:val="13"/>
          <w:szCs w:val="13"/>
          <w:color w:val="auto"/>
        </w:rPr>
      </w:pPr>
    </w:p>
    <w:p>
      <w:pPr>
        <w:ind w:left="285" w:right="20" w:hanging="285"/>
        <w:spacing w:after="0" w:line="246" w:lineRule="auto"/>
        <w:tabs>
          <w:tab w:leader="none" w:pos="28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yield is calculated as last quarter annualized site rental gross margin, exclusive of straight-lined revenues, amortization of prepaid rent, and straight-lined expenses, divided by invested capital net of the amount of prepaid rent received from tenants.</w:t>
      </w:r>
    </w:p>
    <w:p>
      <w:pPr>
        <w:spacing w:after="0" w:line="1"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straight-lined revenues and amortization of prepaid rent.</w:t>
      </w:r>
    </w:p>
    <w:p>
      <w:pPr>
        <w:ind w:left="285" w:hanging="285"/>
        <w:spacing w:after="0"/>
        <w:tabs>
          <w:tab w:leader="none" w:pos="28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straight-lined revenues, amortization of prepaid rent and straight-lined expenses.</w:t>
      </w:r>
    </w:p>
    <w:p>
      <w:pPr>
        <w:ind w:left="285" w:right="20" w:hanging="285"/>
        <w:spacing w:after="0" w:line="253" w:lineRule="auto"/>
        <w:tabs>
          <w:tab w:leader="none" w:pos="27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gross total assets (including incremental capital invested by the Company since time of acquisition or construction completion), less any prepaid rent. Inclusive of invested capital related to land at the tower site.</w:t>
      </w:r>
    </w:p>
    <w:p>
      <w:pPr>
        <w:spacing w:after="0" w:line="3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65"/>
          </w:cols>
          <w:pgMar w:left="315" w:top="120" w:right="319" w:bottom="1440" w:gutter="0" w:footer="0" w:header="0"/>
        </w:sectPr>
      </w:pPr>
    </w:p>
    <w:bookmarkStart w:id="53" w:name="page54"/>
    <w:bookmarkEnd w:id="53"/>
    <w:p>
      <w:pPr>
        <w:jc w:val="center"/>
        <w:ind w:right="15"/>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shd w:val="clear" w:color="auto" w:fill="CCC0DA"/>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GROUND INTEREST OVERVIEW</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2040" w:type="dxa"/>
            <w:vAlign w:val="bottom"/>
            <w:tcBorders>
              <w:top w:val="single" w:sz="8" w:color="auto"/>
            </w:tcBorders>
            <w:shd w:val="clear" w:color="auto" w:fill="DBDBDB"/>
          </w:tcPr>
          <w:p>
            <w:pPr>
              <w:spacing w:after="0"/>
              <w:rPr>
                <w:sz w:val="12"/>
                <w:szCs w:val="12"/>
                <w:color w:val="auto"/>
              </w:rPr>
            </w:pPr>
          </w:p>
        </w:tc>
        <w:tc>
          <w:tcPr>
            <w:tcW w:w="1300" w:type="dxa"/>
            <w:vAlign w:val="bottom"/>
            <w:tcBorders>
              <w:top w:val="single" w:sz="8" w:color="auto"/>
            </w:tcBorders>
            <w:shd w:val="clear" w:color="auto" w:fill="DBDBDB"/>
          </w:tcPr>
          <w:p>
            <w:pPr>
              <w:spacing w:after="0"/>
              <w:rPr>
                <w:sz w:val="12"/>
                <w:szCs w:val="12"/>
                <w:color w:val="auto"/>
              </w:rPr>
            </w:pPr>
          </w:p>
        </w:tc>
        <w:tc>
          <w:tcPr>
            <w:tcW w:w="1320" w:type="dxa"/>
            <w:vAlign w:val="bottom"/>
            <w:tcBorders>
              <w:top w:val="single" w:sz="8" w:color="auto"/>
            </w:tcBorders>
            <w:shd w:val="clear" w:color="auto" w:fill="DBDBDB"/>
          </w:tcPr>
          <w:p>
            <w:pPr>
              <w:spacing w:after="0"/>
              <w:rPr>
                <w:sz w:val="12"/>
                <w:szCs w:val="12"/>
                <w:color w:val="auto"/>
              </w:rPr>
            </w:pPr>
          </w:p>
        </w:tc>
        <w:tc>
          <w:tcPr>
            <w:tcW w:w="1320" w:type="dxa"/>
            <w:vAlign w:val="bottom"/>
            <w:tcBorders>
              <w:top w:val="single" w:sz="8" w:color="auto"/>
            </w:tcBorders>
            <w:shd w:val="clear" w:color="auto" w:fill="DBDBDB"/>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LQA Towers</w:t>
            </w:r>
          </w:p>
        </w:tc>
        <w:tc>
          <w:tcPr>
            <w:tcW w:w="1340" w:type="dxa"/>
            <w:vAlign w:val="bottom"/>
            <w:tcBorders>
              <w:top w:val="single" w:sz="8" w:color="auto"/>
            </w:tcBorders>
            <w:shd w:val="clear" w:color="auto" w:fill="DBDBDB"/>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Percentage of LQA</w:t>
            </w:r>
          </w:p>
        </w:tc>
        <w:tc>
          <w:tcPr>
            <w:tcW w:w="2680" w:type="dxa"/>
            <w:vAlign w:val="bottom"/>
            <w:tcBorders>
              <w:top w:val="single" w:sz="8" w:color="auto"/>
            </w:tcBorders>
            <w:shd w:val="clear" w:color="auto" w:fill="DBDBDB"/>
          </w:tcPr>
          <w:p>
            <w:pPr>
              <w:spacing w:after="0"/>
              <w:rPr>
                <w:sz w:val="12"/>
                <w:szCs w:val="12"/>
                <w:color w:val="auto"/>
              </w:rPr>
            </w:pPr>
          </w:p>
        </w:tc>
        <w:tc>
          <w:tcPr>
            <w:tcW w:w="1260" w:type="dxa"/>
            <w:vAlign w:val="bottom"/>
            <w:tcBorders>
              <w:top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4"/>
        </w:trPr>
        <w:tc>
          <w:tcPr>
            <w:tcW w:w="2040" w:type="dxa"/>
            <w:vAlign w:val="bottom"/>
            <w:shd w:val="clear" w:color="auto" w:fill="DBDBDB"/>
          </w:tcPr>
          <w:p>
            <w:pPr>
              <w:spacing w:after="0"/>
              <w:rPr>
                <w:sz w:val="9"/>
                <w:szCs w:val="9"/>
                <w:color w:val="auto"/>
              </w:rPr>
            </w:pPr>
          </w:p>
        </w:tc>
        <w:tc>
          <w:tcPr>
            <w:tcW w:w="1300" w:type="dxa"/>
            <w:vAlign w:val="bottom"/>
            <w:shd w:val="clear" w:color="auto" w:fill="DBDBDB"/>
          </w:tcPr>
          <w:p>
            <w:pPr>
              <w:spacing w:after="0"/>
              <w:rPr>
                <w:sz w:val="9"/>
                <w:szCs w:val="9"/>
                <w:color w:val="auto"/>
              </w:rPr>
            </w:pPr>
          </w:p>
        </w:tc>
        <w:tc>
          <w:tcPr>
            <w:tcW w:w="1320" w:type="dxa"/>
            <w:vAlign w:val="bottom"/>
            <w:vMerge w:val="restart"/>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Percentage of LQA</w:t>
            </w:r>
          </w:p>
        </w:tc>
        <w:tc>
          <w:tcPr>
            <w:tcW w:w="1320" w:type="dxa"/>
            <w:vAlign w:val="bottom"/>
            <w:vMerge w:val="restart"/>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Segment Site Rental</w:t>
            </w:r>
          </w:p>
        </w:tc>
        <w:tc>
          <w:tcPr>
            <w:tcW w:w="1340" w:type="dxa"/>
            <w:vAlign w:val="bottom"/>
            <w:vMerge w:val="restart"/>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Towers Segment Site</w:t>
            </w:r>
          </w:p>
        </w:tc>
        <w:tc>
          <w:tcPr>
            <w:tcW w:w="2680" w:type="dxa"/>
            <w:vAlign w:val="bottom"/>
            <w:shd w:val="clear" w:color="auto" w:fill="DBDBDB"/>
          </w:tcPr>
          <w:p>
            <w:pPr>
              <w:spacing w:after="0"/>
              <w:rPr>
                <w:sz w:val="9"/>
                <w:szCs w:val="9"/>
                <w:color w:val="auto"/>
              </w:rPr>
            </w:pPr>
          </w:p>
        </w:tc>
        <w:tc>
          <w:tcPr>
            <w:tcW w:w="126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40" w:type="dxa"/>
            <w:vAlign w:val="bottom"/>
            <w:vMerge w:val="restart"/>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w:t>
            </w:r>
          </w:p>
        </w:tc>
        <w:tc>
          <w:tcPr>
            <w:tcW w:w="13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rPr>
              <w:t>LQA Cash Site</w:t>
            </w:r>
          </w:p>
        </w:tc>
        <w:tc>
          <w:tcPr>
            <w:tcW w:w="1320" w:type="dxa"/>
            <w:vAlign w:val="bottom"/>
            <w:vMerge w:val="continue"/>
            <w:shd w:val="clear" w:color="auto" w:fill="DBDBDB"/>
          </w:tcPr>
          <w:p>
            <w:pPr>
              <w:spacing w:after="0"/>
              <w:rPr>
                <w:sz w:val="3"/>
                <w:szCs w:val="3"/>
                <w:color w:val="auto"/>
              </w:rPr>
            </w:pPr>
          </w:p>
        </w:tc>
        <w:tc>
          <w:tcPr>
            <w:tcW w:w="1320" w:type="dxa"/>
            <w:vAlign w:val="bottom"/>
            <w:vMerge w:val="continue"/>
            <w:shd w:val="clear" w:color="auto" w:fill="DBDBDB"/>
          </w:tcPr>
          <w:p>
            <w:pPr>
              <w:spacing w:after="0"/>
              <w:rPr>
                <w:sz w:val="3"/>
                <w:szCs w:val="3"/>
                <w:color w:val="auto"/>
              </w:rPr>
            </w:pPr>
          </w:p>
        </w:tc>
        <w:tc>
          <w:tcPr>
            <w:tcW w:w="1340" w:type="dxa"/>
            <w:vAlign w:val="bottom"/>
            <w:vMerge w:val="continue"/>
            <w:shd w:val="clear" w:color="auto" w:fill="DBDBDB"/>
          </w:tcPr>
          <w:p>
            <w:pPr>
              <w:spacing w:after="0"/>
              <w:rPr>
                <w:sz w:val="3"/>
                <w:szCs w:val="3"/>
                <w:color w:val="auto"/>
              </w:rPr>
            </w:pPr>
          </w:p>
        </w:tc>
        <w:tc>
          <w:tcPr>
            <w:tcW w:w="2680" w:type="dxa"/>
            <w:vAlign w:val="bottom"/>
            <w:shd w:val="clear" w:color="auto" w:fill="DBDBDB"/>
          </w:tcPr>
          <w:p>
            <w:pPr>
              <w:spacing w:after="0"/>
              <w:rPr>
                <w:sz w:val="3"/>
                <w:szCs w:val="3"/>
                <w:color w:val="auto"/>
              </w:rPr>
            </w:pPr>
          </w:p>
        </w:tc>
        <w:tc>
          <w:tcPr>
            <w:tcW w:w="12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rPr>
              <w:t>Term Remaining</w:t>
            </w:r>
          </w:p>
        </w:tc>
        <w:tc>
          <w:tcPr>
            <w:tcW w:w="0" w:type="dxa"/>
            <w:vAlign w:val="bottom"/>
          </w:tcPr>
          <w:p>
            <w:pPr>
              <w:spacing w:after="0" w:line="20" w:lineRule="exact"/>
              <w:rPr>
                <w:sz w:val="1"/>
                <w:szCs w:val="1"/>
                <w:color w:val="auto"/>
              </w:rPr>
            </w:pPr>
          </w:p>
        </w:tc>
      </w:tr>
      <w:tr>
        <w:trPr>
          <w:trHeight w:val="142"/>
        </w:trPr>
        <w:tc>
          <w:tcPr>
            <w:tcW w:w="2040" w:type="dxa"/>
            <w:vAlign w:val="bottom"/>
            <w:vMerge w:val="continue"/>
            <w:shd w:val="clear" w:color="auto" w:fill="DBDBDB"/>
          </w:tcPr>
          <w:p>
            <w:pPr>
              <w:spacing w:after="0"/>
              <w:rPr>
                <w:sz w:val="12"/>
                <w:szCs w:val="12"/>
                <w:color w:val="auto"/>
              </w:rPr>
            </w:pPr>
          </w:p>
        </w:tc>
        <w:tc>
          <w:tcPr>
            <w:tcW w:w="1300" w:type="dxa"/>
            <w:vAlign w:val="bottom"/>
            <w:vMerge w:val="continue"/>
            <w:shd w:val="clear" w:color="auto" w:fill="DBDBDB"/>
          </w:tcPr>
          <w:p>
            <w:pPr>
              <w:spacing w:after="0"/>
              <w:rPr>
                <w:sz w:val="12"/>
                <w:szCs w:val="12"/>
                <w:color w:val="auto"/>
              </w:rPr>
            </w:pPr>
          </w:p>
        </w:tc>
        <w:tc>
          <w:tcPr>
            <w:tcW w:w="1320" w:type="dxa"/>
            <w:vAlign w:val="bottom"/>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Cash Site Rental</w:t>
            </w:r>
          </w:p>
        </w:tc>
        <w:tc>
          <w:tcPr>
            <w:tcW w:w="1320" w:type="dxa"/>
            <w:vAlign w:val="bottom"/>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Gross Cash</w:t>
            </w:r>
          </w:p>
        </w:tc>
        <w:tc>
          <w:tcPr>
            <w:tcW w:w="1340" w:type="dxa"/>
            <w:vAlign w:val="bottom"/>
            <w:shd w:val="clear" w:color="auto" w:fill="DBDBDB"/>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Rental Gross Cash</w:t>
            </w:r>
          </w:p>
        </w:tc>
        <w:tc>
          <w:tcPr>
            <w:tcW w:w="2680" w:type="dxa"/>
            <w:vAlign w:val="bottom"/>
            <w:vMerge w:val="restart"/>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Towers</w:t>
            </w:r>
            <w:r>
              <w:rPr>
                <w:rFonts w:ascii="Times New Roman" w:cs="Times New Roman" w:eastAsia="Times New Roman" w:hAnsi="Times New Roman"/>
                <w:sz w:val="18"/>
                <w:szCs w:val="18"/>
                <w:b w:val="1"/>
                <w:bCs w:val="1"/>
                <w:color w:val="auto"/>
                <w:vertAlign w:val="superscript"/>
              </w:rPr>
              <w:t>(c)</w:t>
            </w:r>
            <w:r>
              <w:rPr>
                <w:rFonts w:ascii="Times New Roman" w:cs="Times New Roman" w:eastAsia="Times New Roman" w:hAnsi="Times New Roman"/>
                <w:sz w:val="14"/>
                <w:szCs w:val="14"/>
                <w:b w:val="1"/>
                <w:bCs w:val="1"/>
                <w:color w:val="auto"/>
              </w:rPr>
              <w:t xml:space="preserve"> Percentage of Towers</w:t>
            </w:r>
          </w:p>
        </w:tc>
        <w:tc>
          <w:tcPr>
            <w:tcW w:w="12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bottom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Rental Revenues</w:t>
            </w:r>
            <w:r>
              <w:rPr>
                <w:rFonts w:ascii="Times New Roman" w:cs="Times New Roman" w:eastAsia="Times New Roman" w:hAnsi="Times New Roman"/>
                <w:sz w:val="18"/>
                <w:szCs w:val="18"/>
                <w:b w:val="1"/>
                <w:bCs w:val="1"/>
                <w:color w:val="auto"/>
                <w:w w:val="98"/>
                <w:vertAlign w:val="superscript"/>
              </w:rPr>
              <w:t>(a)</w:t>
            </w:r>
          </w:p>
        </w:tc>
        <w:tc>
          <w:tcPr>
            <w:tcW w:w="1320" w:type="dxa"/>
            <w:vAlign w:val="bottom"/>
            <w:tcBorders>
              <w:bottom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Revenues</w:t>
            </w:r>
            <w:r>
              <w:rPr>
                <w:rFonts w:ascii="Times New Roman" w:cs="Times New Roman" w:eastAsia="Times New Roman" w:hAnsi="Times New Roman"/>
                <w:sz w:val="18"/>
                <w:szCs w:val="18"/>
                <w:b w:val="1"/>
                <w:bCs w:val="1"/>
                <w:color w:val="auto"/>
                <w:w w:val="98"/>
                <w:vertAlign w:val="superscript"/>
              </w:rPr>
              <w:t>(a)</w:t>
            </w:r>
          </w:p>
        </w:tc>
        <w:tc>
          <w:tcPr>
            <w:tcW w:w="1320" w:type="dxa"/>
            <w:vAlign w:val="bottom"/>
            <w:tcBorders>
              <w:bottom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Margin</w:t>
            </w:r>
            <w:r>
              <w:rPr>
                <w:rFonts w:ascii="Times New Roman" w:cs="Times New Roman" w:eastAsia="Times New Roman" w:hAnsi="Times New Roman"/>
                <w:sz w:val="18"/>
                <w:szCs w:val="18"/>
                <w:b w:val="1"/>
                <w:bCs w:val="1"/>
                <w:color w:val="auto"/>
                <w:w w:val="96"/>
                <w:vertAlign w:val="superscript"/>
              </w:rPr>
              <w:t>(b)</w:t>
            </w:r>
          </w:p>
        </w:tc>
        <w:tc>
          <w:tcPr>
            <w:tcW w:w="1340" w:type="dxa"/>
            <w:vAlign w:val="bottom"/>
            <w:tcBorders>
              <w:bottom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Margin</w:t>
            </w:r>
            <w:r>
              <w:rPr>
                <w:rFonts w:ascii="Times New Roman" w:cs="Times New Roman" w:eastAsia="Times New Roman" w:hAnsi="Times New Roman"/>
                <w:sz w:val="18"/>
                <w:szCs w:val="18"/>
                <w:b w:val="1"/>
                <w:bCs w:val="1"/>
                <w:color w:val="auto"/>
                <w:w w:val="96"/>
                <w:vertAlign w:val="superscript"/>
              </w:rPr>
              <w:t>(b)</w:t>
            </w:r>
          </w:p>
        </w:tc>
        <w:tc>
          <w:tcPr>
            <w:tcW w:w="2680" w:type="dxa"/>
            <w:vAlign w:val="bottom"/>
            <w:tcBorders>
              <w:bottom w:val="single" w:sz="8" w:color="auto"/>
            </w:tcBorders>
            <w:vMerge w:val="continue"/>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7"/>
              </w:rPr>
              <w:t>(by years)</w:t>
            </w:r>
            <w:r>
              <w:rPr>
                <w:rFonts w:ascii="Times New Roman" w:cs="Times New Roman" w:eastAsia="Times New Roman" w:hAnsi="Times New Roman"/>
                <w:sz w:val="18"/>
                <w:szCs w:val="18"/>
                <w:b w:val="1"/>
                <w:bCs w:val="1"/>
                <w:color w:val="auto"/>
                <w:w w:val="97"/>
                <w:vertAlign w:val="superscript"/>
              </w:rPr>
              <w:t>(d)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5"/>
          </w:cols>
          <w:pgMar w:left="315" w:top="120" w:right="319" w:bottom="1440" w:gutter="0" w:footer="0" w:header="0"/>
        </w:sectPr>
      </w:pPr>
    </w:p>
    <w:p>
      <w:pPr>
        <w:ind w:left="25" w:right="120"/>
        <w:spacing w:after="0" w:line="293" w:lineRule="auto"/>
        <w:rPr>
          <w:sz w:val="20"/>
          <w:szCs w:val="20"/>
          <w:color w:val="auto"/>
        </w:rPr>
      </w:pPr>
      <w:r>
        <w:rPr>
          <w:rFonts w:ascii="Times New Roman" w:cs="Times New Roman" w:eastAsia="Times New Roman" w:hAnsi="Times New Roman"/>
          <w:sz w:val="14"/>
          <w:szCs w:val="14"/>
          <w:color w:val="auto"/>
        </w:rPr>
        <w:t>Less than 10 years 10 to 20 years Greater than 20 years Total leased</w:t>
      </w:r>
    </w:p>
    <w:p>
      <w:pPr>
        <w:spacing w:after="0" w:line="171"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Owned</w:t>
      </w:r>
    </w:p>
    <w:p>
      <w:pPr>
        <w:spacing w:after="0" w:line="4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color w:val="auto"/>
        </w:rPr>
        <w:t>Total / Average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437</w:t>
            </w:r>
          </w:p>
        </w:tc>
        <w:tc>
          <w:tcPr>
            <w:tcW w:w="14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11 % $</w:t>
            </w: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243</w:t>
            </w:r>
          </w:p>
        </w:tc>
        <w:tc>
          <w:tcPr>
            <w:tcW w:w="13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8 %</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5,417</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14 %</w:t>
            </w:r>
          </w:p>
        </w:tc>
        <w:tc>
          <w:tcPr>
            <w:tcW w:w="740" w:type="dxa"/>
            <w:vAlign w:val="bottom"/>
          </w:tcPr>
          <w:p>
            <w:pPr>
              <w:spacing w:after="0"/>
              <w:rPr>
                <w:sz w:val="16"/>
                <w:szCs w:val="16"/>
                <w:color w:val="auto"/>
              </w:rPr>
            </w:pPr>
          </w:p>
        </w:tc>
      </w:tr>
      <w:tr>
        <w:trPr>
          <w:trHeight w:val="189"/>
        </w:trPr>
        <w:tc>
          <w:tcPr>
            <w:tcW w:w="480" w:type="dxa"/>
            <w:vAlign w:val="bottom"/>
          </w:tcPr>
          <w:p>
            <w:pPr>
              <w:spacing w:after="0"/>
              <w:rPr>
                <w:sz w:val="16"/>
                <w:szCs w:val="16"/>
                <w:color w:val="auto"/>
              </w:rPr>
            </w:pP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594</w:t>
            </w:r>
          </w:p>
        </w:tc>
        <w:tc>
          <w:tcPr>
            <w:tcW w:w="14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15 %</w:t>
            </w: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387</w:t>
            </w:r>
          </w:p>
        </w:tc>
        <w:tc>
          <w:tcPr>
            <w:tcW w:w="13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12 %</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6,150</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15 %</w:t>
            </w:r>
          </w:p>
        </w:tc>
        <w:tc>
          <w:tcPr>
            <w:tcW w:w="740" w:type="dxa"/>
            <w:vAlign w:val="bottom"/>
          </w:tcPr>
          <w:p>
            <w:pPr>
              <w:spacing w:after="0"/>
              <w:rPr>
                <w:sz w:val="16"/>
                <w:szCs w:val="16"/>
                <w:color w:val="auto"/>
              </w:rPr>
            </w:pPr>
          </w:p>
        </w:tc>
      </w:tr>
      <w:tr>
        <w:trPr>
          <w:trHeight w:val="192"/>
        </w:trPr>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1,607</w:t>
            </w:r>
          </w:p>
        </w:tc>
        <w:tc>
          <w:tcPr>
            <w:tcW w:w="14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40 %</w:t>
            </w: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1,180</w:t>
            </w:r>
          </w:p>
        </w:tc>
        <w:tc>
          <w:tcPr>
            <w:tcW w:w="13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38 %</w:t>
            </w:r>
          </w:p>
        </w:tc>
        <w:tc>
          <w:tcPr>
            <w:tcW w:w="13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16,570</w:t>
            </w:r>
          </w:p>
        </w:tc>
        <w:tc>
          <w:tcPr>
            <w:tcW w:w="14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41 %</w:t>
            </w:r>
          </w:p>
        </w:tc>
        <w:tc>
          <w:tcPr>
            <w:tcW w:w="740" w:type="dxa"/>
            <w:vAlign w:val="bottom"/>
            <w:tcBorders>
              <w:bottom w:val="single" w:sz="8" w:color="auto"/>
            </w:tcBorders>
          </w:tcPr>
          <w:p>
            <w:pPr>
              <w:spacing w:after="0"/>
              <w:rPr>
                <w:sz w:val="16"/>
                <w:szCs w:val="16"/>
                <w:color w:val="auto"/>
              </w:rPr>
            </w:pPr>
          </w:p>
        </w:tc>
      </w:tr>
      <w:tr>
        <w:trPr>
          <w:trHeight w:val="179"/>
        </w:trPr>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2,637</w:t>
            </w:r>
          </w:p>
        </w:tc>
        <w:tc>
          <w:tcPr>
            <w:tcW w:w="140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66 % $</w:t>
            </w:r>
          </w:p>
        </w:tc>
        <w:tc>
          <w:tcPr>
            <w:tcW w:w="124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1,810</w:t>
            </w:r>
          </w:p>
        </w:tc>
        <w:tc>
          <w:tcPr>
            <w:tcW w:w="13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58 %</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28,137</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70 %</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381"/>
        </w:trPr>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1,358</w:t>
            </w:r>
          </w:p>
        </w:tc>
        <w:tc>
          <w:tcPr>
            <w:tcW w:w="14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34 % $</w:t>
            </w: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1,286</w:t>
            </w:r>
          </w:p>
        </w:tc>
        <w:tc>
          <w:tcPr>
            <w:tcW w:w="13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42 %</w:t>
            </w:r>
          </w:p>
        </w:tc>
        <w:tc>
          <w:tcPr>
            <w:tcW w:w="13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11,895</w:t>
            </w:r>
          </w:p>
        </w:tc>
        <w:tc>
          <w:tcPr>
            <w:tcW w:w="14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30 %</w:t>
            </w:r>
          </w:p>
        </w:tc>
        <w:tc>
          <w:tcPr>
            <w:tcW w:w="740" w:type="dxa"/>
            <w:vAlign w:val="bottom"/>
            <w:tcBorders>
              <w:bottom w:val="single" w:sz="8" w:color="auto"/>
            </w:tcBorders>
          </w:tcPr>
          <w:p>
            <w:pPr>
              <w:spacing w:after="0"/>
              <w:rPr>
                <w:sz w:val="24"/>
                <w:szCs w:val="24"/>
                <w:color w:val="auto"/>
              </w:rPr>
            </w:pPr>
          </w:p>
        </w:tc>
      </w:tr>
      <w:tr>
        <w:trPr>
          <w:trHeight w:val="181"/>
        </w:trPr>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3,995</w:t>
            </w:r>
          </w:p>
        </w:tc>
        <w:tc>
          <w:tcPr>
            <w:tcW w:w="14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100 % $</w:t>
            </w: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3,096</w:t>
            </w:r>
          </w:p>
        </w:tc>
        <w:tc>
          <w:tcPr>
            <w:tcW w:w="13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100 %</w:t>
            </w:r>
          </w:p>
        </w:tc>
        <w:tc>
          <w:tcPr>
            <w:tcW w:w="13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40,032</w:t>
            </w:r>
          </w:p>
        </w:tc>
        <w:tc>
          <w:tcPr>
            <w:tcW w:w="14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100 %</w:t>
            </w:r>
          </w:p>
        </w:tc>
        <w:tc>
          <w:tcPr>
            <w:tcW w:w="740" w:type="dxa"/>
            <w:vAlign w:val="bottom"/>
            <w:tcBorders>
              <w:bottom w:val="single" w:sz="8" w:color="auto"/>
            </w:tcBorders>
          </w:tcPr>
          <w:p>
            <w:pPr>
              <w:spacing w:after="0"/>
              <w:rPr>
                <w:sz w:val="15"/>
                <w:szCs w:val="15"/>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-765175</wp:posOffset>
            </wp:positionV>
            <wp:extent cx="714946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-525145</wp:posOffset>
            </wp:positionV>
            <wp:extent cx="7149465" cy="127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27635"/>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-277495</wp:posOffset>
            </wp:positionV>
            <wp:extent cx="7149465"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45" w:space="720"/>
            <w:col w:w="9200"/>
          </w:cols>
          <w:pgMar w:left="315" w:top="120" w:right="319" w:bottom="1440" w:gutter="0" w:footer="0" w:header="0"/>
          <w:type w:val="continuous"/>
        </w:sectPr>
      </w:pPr>
    </w:p>
    <w:p>
      <w:pPr>
        <w:spacing w:after="0" w:line="5" w:lineRule="exact"/>
        <w:rPr>
          <w:sz w:val="20"/>
          <w:szCs w:val="20"/>
          <w:color w:val="auto"/>
        </w:rPr>
      </w:pPr>
    </w:p>
    <w:p>
      <w:pPr>
        <w:ind w:left="285" w:hanging="285"/>
        <w:spacing w:after="0"/>
        <w:tabs>
          <w:tab w:leader="none" w:pos="28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straight-lined revenues and amortization of prepaid rent.</w:t>
      </w:r>
    </w:p>
    <w:p>
      <w:pPr>
        <w:spacing w:after="0" w:line="6"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straight-lined revenues, amortization of prepaid rent and straight-lined expenses.</w:t>
      </w:r>
    </w:p>
    <w:p>
      <w:pPr>
        <w:ind w:left="285" w:hanging="285"/>
        <w:spacing w:after="0"/>
        <w:tabs>
          <w:tab w:leader="none" w:pos="285"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third-party land interests.</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all renewal terms at the Company's option and weighted by towers site rental gross margin exclusive of straight-lined revenues, amortization of prepaid rent and straight-lined expenses.</w:t>
      </w:r>
    </w:p>
    <w:p>
      <w:pPr>
        <w:spacing w:after="0" w:line="38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65"/>
          </w:cols>
          <w:pgMar w:left="315" w:top="120" w:right="319" w:bottom="1440" w:gutter="0" w:footer="0" w:header="0"/>
          <w:type w:val="continuous"/>
        </w:sectPr>
      </w:pPr>
    </w:p>
    <w:bookmarkStart w:id="54" w:name="page55"/>
    <w:bookmarkEnd w:id="54"/>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FIBER SEGMENT SUMMARY FINANCIAL HIGHLIGHTS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44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74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76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1640" w:type="dxa"/>
            <w:vAlign w:val="bottom"/>
            <w:tcBorders>
              <w:top w:val="single" w:sz="8" w:color="auto"/>
            </w:tcBorders>
            <w:gridSpan w:val="4"/>
            <w:shd w:val="clear" w:color="auto" w:fill="DBDBDB"/>
          </w:tcPr>
          <w:p>
            <w:pPr>
              <w:jc w:val="right"/>
              <w:ind w:right="14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44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gridSpan w:val="3"/>
            <w:vMerge w:val="continue"/>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gridSpan w:val="3"/>
            <w:vMerge w:val="continue"/>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640" w:type="dxa"/>
            <w:vAlign w:val="bottom"/>
            <w:tcBorders>
              <w:bottom w:val="single" w:sz="8" w:color="auto"/>
            </w:tcBorders>
            <w:gridSpan w:val="4"/>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44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revenues:</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Site rental</w:t>
            </w: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(a)</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0" w:type="dxa"/>
            <w:vAlign w:val="bottom"/>
          </w:tcPr>
          <w:p>
            <w:pPr>
              <w:spacing w:after="0"/>
              <w:rPr>
                <w:sz w:val="1"/>
                <w:szCs w:val="1"/>
                <w:color w:val="auto"/>
              </w:rPr>
            </w:pPr>
          </w:p>
        </w:tc>
      </w:tr>
      <w:tr>
        <w:trPr>
          <w:trHeight w:val="189"/>
        </w:trPr>
        <w:tc>
          <w:tcPr>
            <w:tcW w:w="344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7"/>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Straight-lined revenues</w:t>
            </w:r>
          </w:p>
        </w:tc>
        <w:tc>
          <w:tcPr>
            <w:tcW w:w="1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9"/>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9"/>
        </w:trPr>
        <w:tc>
          <w:tcPr>
            <w:tcW w:w="34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revenues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0" w:type="dxa"/>
            <w:vAlign w:val="bottom"/>
          </w:tcPr>
          <w:p>
            <w:pPr>
              <w:spacing w:after="0"/>
              <w:rPr>
                <w:sz w:val="1"/>
                <w:szCs w:val="1"/>
                <w:color w:val="auto"/>
              </w:rPr>
            </w:pPr>
          </w:p>
        </w:tc>
      </w:tr>
      <w:tr>
        <w:trPr>
          <w:trHeight w:val="239"/>
        </w:trPr>
        <w:tc>
          <w:tcPr>
            <w:tcW w:w="344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5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60" w:type="dxa"/>
            <w:vAlign w:val="bottom"/>
            <w:shd w:val="clear" w:color="auto" w:fill="DBE5F1"/>
          </w:tcPr>
          <w:p>
            <w:pPr>
              <w:spacing w:after="0"/>
              <w:rPr>
                <w:sz w:val="20"/>
                <w:szCs w:val="20"/>
                <w:color w:val="auto"/>
              </w:rPr>
            </w:pPr>
          </w:p>
        </w:tc>
        <w:tc>
          <w:tcPr>
            <w:tcW w:w="700" w:type="dxa"/>
            <w:vAlign w:val="bottom"/>
            <w:shd w:val="clear" w:color="auto" w:fill="DBE5F1"/>
          </w:tcPr>
          <w:p>
            <w:pPr>
              <w:spacing w:after="0"/>
              <w:rPr>
                <w:sz w:val="20"/>
                <w:szCs w:val="20"/>
                <w:color w:val="auto"/>
              </w:rPr>
            </w:pPr>
          </w:p>
        </w:tc>
        <w:tc>
          <w:tcPr>
            <w:tcW w:w="80" w:type="dxa"/>
            <w:vAlign w:val="bottom"/>
            <w:shd w:val="clear" w:color="auto" w:fill="DBE5F1"/>
          </w:tcPr>
          <w:p>
            <w:pPr>
              <w:spacing w:after="0"/>
              <w:rPr>
                <w:sz w:val="20"/>
                <w:szCs w:val="20"/>
                <w:color w:val="auto"/>
              </w:rPr>
            </w:pPr>
          </w:p>
        </w:tc>
        <w:tc>
          <w:tcPr>
            <w:tcW w:w="180" w:type="dxa"/>
            <w:vAlign w:val="bottom"/>
            <w:shd w:val="clear" w:color="auto" w:fill="DBE5F1"/>
          </w:tcPr>
          <w:p>
            <w:pPr>
              <w:spacing w:after="0"/>
              <w:rPr>
                <w:sz w:val="20"/>
                <w:szCs w:val="20"/>
                <w:color w:val="auto"/>
              </w:rPr>
            </w:pPr>
          </w:p>
        </w:tc>
        <w:tc>
          <w:tcPr>
            <w:tcW w:w="68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operating expenses</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120"/>
              <w:spacing w:after="0" w:line="192" w:lineRule="exact"/>
              <w:rPr>
                <w:sz w:val="20"/>
                <w:szCs w:val="20"/>
                <w:color w:val="auto"/>
              </w:rPr>
            </w:pPr>
            <w:r>
              <w:rPr>
                <w:rFonts w:ascii="Times New Roman" w:cs="Times New Roman" w:eastAsia="Times New Roman" w:hAnsi="Times New Roman"/>
                <w:sz w:val="14"/>
                <w:szCs w:val="14"/>
                <w:color w:val="auto"/>
              </w:rPr>
              <w:t>Costs of operations</w:t>
            </w:r>
            <w:r>
              <w:rPr>
                <w:rFonts w:ascii="Times New Roman" w:cs="Times New Roman" w:eastAsia="Times New Roman" w:hAnsi="Times New Roman"/>
                <w:sz w:val="18"/>
                <w:szCs w:val="18"/>
                <w:color w:val="auto"/>
                <w:vertAlign w:val="superscript"/>
              </w:rPr>
              <w:t>(b)</w:t>
            </w: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Site rental exclusive of straight-lined expenses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Straight-lined expenses</w:t>
            </w:r>
          </w:p>
        </w:tc>
        <w:tc>
          <w:tcPr>
            <w:tcW w:w="18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site rental</w:t>
            </w: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4"/>
                <w:szCs w:val="14"/>
                <w:color w:val="auto"/>
              </w:rPr>
              <w:t>Services and other</w:t>
            </w: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9"/>
        </w:trPr>
        <w:tc>
          <w:tcPr>
            <w:tcW w:w="34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costs of operations</w:t>
            </w: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480"/>
              <w:spacing w:after="0" w:line="192" w:lineRule="exact"/>
              <w:rPr>
                <w:sz w:val="20"/>
                <w:szCs w:val="20"/>
                <w:color w:val="auto"/>
              </w:rPr>
            </w:pPr>
            <w:r>
              <w:rPr>
                <w:rFonts w:ascii="Times New Roman" w:cs="Times New Roman" w:eastAsia="Times New Roman" w:hAnsi="Times New Roman"/>
                <w:sz w:val="14"/>
                <w:szCs w:val="14"/>
                <w:color w:val="auto"/>
              </w:rPr>
              <w:t>Selling, general and administrative</w:t>
            </w:r>
            <w:r>
              <w:rPr>
                <w:rFonts w:ascii="Times New Roman" w:cs="Times New Roman" w:eastAsia="Times New Roman" w:hAnsi="Times New Roman"/>
                <w:sz w:val="18"/>
                <w:szCs w:val="18"/>
                <w:color w:val="auto"/>
                <w:vertAlign w:val="superscript"/>
              </w:rPr>
              <w:t>(c)</w:t>
            </w: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DBE5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DBE5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440" w:type="dxa"/>
            <w:vAlign w:val="bottom"/>
            <w:tcBorders>
              <w:bottom w:val="single" w:sz="8" w:color="DBE5F1"/>
            </w:tcBorders>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8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r>
        <w:trPr>
          <w:trHeight w:val="20"/>
        </w:trPr>
        <w:tc>
          <w:tcPr>
            <w:tcW w:w="344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68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85" w:hanging="285"/>
        <w:spacing w:after="0"/>
        <w:tabs>
          <w:tab w:leader="none" w:pos="28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 of site rental billings.</w:t>
      </w:r>
    </w:p>
    <w:p>
      <w:pPr>
        <w:spacing w:after="0" w:line="8"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(1) depreciation, amortization and accretion, (2) stock-based compensation expense, net and (3) prepaid lease purchase price adjustments. 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w:t>
      </w:r>
    </w:p>
    <w:p>
      <w:pPr>
        <w:ind w:left="285" w:hanging="285"/>
        <w:spacing w:after="0"/>
        <w:tabs>
          <w:tab w:leader="none" w:pos="28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stock-based compensation expense, net. 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for further information on, and our definition and calculation of, segment operating profit (loss).</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65"/>
          </w:cols>
          <w:pgMar w:left="315" w:top="120" w:right="319" w:bottom="1440" w:gutter="0" w:footer="0" w:header="0"/>
        </w:sectPr>
      </w:pPr>
    </w:p>
    <w:bookmarkStart w:id="55" w:name="page56"/>
    <w:bookmarkEnd w:id="55"/>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FIBER SEGMENT COMPONENTS OF CHANGES IN SITE RENTAL REVENUES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32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380" w:type="dxa"/>
            <w:vAlign w:val="bottom"/>
            <w:tcBorders>
              <w:top w:val="single" w:sz="8" w:color="auto"/>
            </w:tcBorders>
            <w:shd w:val="clear" w:color="auto" w:fill="DBDBDB"/>
          </w:tcPr>
          <w:p>
            <w:pPr>
              <w:spacing w:after="0"/>
              <w:rPr>
                <w:sz w:val="12"/>
                <w:szCs w:val="12"/>
                <w:color w:val="auto"/>
              </w:rPr>
            </w:pPr>
          </w:p>
        </w:tc>
        <w:tc>
          <w:tcPr>
            <w:tcW w:w="14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320" w:type="dxa"/>
            <w:vAlign w:val="bottom"/>
            <w:tcBorders>
              <w:top w:val="single" w:sz="8" w:color="auto"/>
            </w:tcBorders>
            <w:shd w:val="clear" w:color="auto" w:fill="DBDBDB"/>
          </w:tcPr>
          <w:p>
            <w:pPr>
              <w:spacing w:after="0"/>
              <w:rPr>
                <w:sz w:val="12"/>
                <w:szCs w:val="12"/>
                <w:color w:val="auto"/>
              </w:rPr>
            </w:pPr>
          </w:p>
        </w:tc>
        <w:tc>
          <w:tcPr>
            <w:tcW w:w="740" w:type="dxa"/>
            <w:vAlign w:val="bottom"/>
            <w:tcBorders>
              <w:top w:val="single" w:sz="8" w:color="auto"/>
            </w:tcBorders>
            <w:gridSpan w:val="5"/>
            <w:vMerge w:val="restart"/>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40" w:type="dxa"/>
            <w:vAlign w:val="bottom"/>
            <w:tcBorders>
              <w:top w:val="single" w:sz="8" w:color="auto"/>
            </w:tcBorders>
            <w:shd w:val="clear" w:color="auto" w:fill="DBDBDB"/>
          </w:tcPr>
          <w:p>
            <w:pPr>
              <w:spacing w:after="0"/>
              <w:rPr>
                <w:sz w:val="12"/>
                <w:szCs w:val="12"/>
                <w:color w:val="auto"/>
              </w:rPr>
            </w:pPr>
          </w:p>
        </w:tc>
        <w:tc>
          <w:tcPr>
            <w:tcW w:w="1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2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26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200" w:type="dxa"/>
            <w:vAlign w:val="bottom"/>
            <w:tcBorders>
              <w:top w:val="single" w:sz="8" w:color="auto"/>
            </w:tcBorders>
            <w:shd w:val="clear" w:color="auto" w:fill="DBDBDB"/>
          </w:tcPr>
          <w:p>
            <w:pPr>
              <w:spacing w:after="0"/>
              <w:rPr>
                <w:sz w:val="12"/>
                <w:szCs w:val="12"/>
                <w:color w:val="auto"/>
              </w:rPr>
            </w:pPr>
          </w:p>
        </w:tc>
        <w:tc>
          <w:tcPr>
            <w:tcW w:w="740" w:type="dxa"/>
            <w:vAlign w:val="bottom"/>
            <w:tcBorders>
              <w:top w:val="single" w:sz="8" w:color="auto"/>
            </w:tcBorders>
            <w:gridSpan w:val="5"/>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3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200" w:type="dxa"/>
            <w:vAlign w:val="bottom"/>
            <w:tcBorders>
              <w:top w:val="single" w:sz="8" w:color="auto"/>
            </w:tcBorders>
            <w:shd w:val="clear" w:color="auto" w:fill="DBDBDB"/>
          </w:tcPr>
          <w:p>
            <w:pPr>
              <w:spacing w:after="0"/>
              <w:rPr>
                <w:sz w:val="12"/>
                <w:szCs w:val="12"/>
                <w:color w:val="auto"/>
              </w:rPr>
            </w:pPr>
          </w:p>
        </w:tc>
        <w:tc>
          <w:tcPr>
            <w:tcW w:w="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340" w:type="dxa"/>
            <w:vAlign w:val="bottom"/>
            <w:tcBorders>
              <w:top w:val="single" w:sz="8" w:color="auto"/>
            </w:tcBorders>
            <w:shd w:val="clear" w:color="auto" w:fill="DBDBDB"/>
          </w:tcPr>
          <w:p>
            <w:pPr>
              <w:spacing w:after="0"/>
              <w:rPr>
                <w:sz w:val="12"/>
                <w:szCs w:val="12"/>
                <w:color w:val="auto"/>
              </w:rPr>
            </w:pPr>
          </w:p>
        </w:tc>
        <w:tc>
          <w:tcPr>
            <w:tcW w:w="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1580" w:type="dxa"/>
            <w:vAlign w:val="bottom"/>
            <w:tcBorders>
              <w:top w:val="single" w:sz="8" w:color="auto"/>
            </w:tcBorders>
            <w:gridSpan w:val="9"/>
            <w:shd w:val="clear" w:color="auto" w:fill="DBDBDB"/>
          </w:tcPr>
          <w:p>
            <w:pPr>
              <w:jc w:val="right"/>
              <w:ind w:right="12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gridSpan w:val="5"/>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gridSpan w:val="5"/>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gridSpan w:val="6"/>
            <w:shd w:val="clear" w:color="auto" w:fill="DBDBDB"/>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18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3"/>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680" w:type="dxa"/>
            <w:vAlign w:val="bottom"/>
            <w:tcBorders>
              <w:bottom w:val="single" w:sz="8" w:color="auto"/>
            </w:tcBorders>
            <w:gridSpan w:val="4"/>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Q2</w:t>
            </w:r>
          </w:p>
        </w:tc>
        <w:tc>
          <w:tcPr>
            <w:tcW w:w="8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gridSpan w:val="4"/>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Borders>
              <w:bottom w:val="single" w:sz="8" w:color="auto"/>
            </w:tcBorders>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gridSpan w:val="3"/>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9"/>
              </w:rPr>
              <w:t>Q4</w:t>
            </w:r>
          </w:p>
        </w:tc>
        <w:tc>
          <w:tcPr>
            <w:tcW w:w="10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460" w:type="dxa"/>
            <w:vAlign w:val="bottom"/>
            <w:tcBorders>
              <w:bottom w:val="single" w:sz="8" w:color="auto"/>
            </w:tcBorders>
            <w:gridSpan w:val="3"/>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gridSpan w:val="3"/>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3"/>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gridSpan w:val="3"/>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Q4</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gridSpan w:val="4"/>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300"/>
              <w:spacing w:after="0" w:line="192"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DBE5F1"/>
          </w:tcPr>
          <w:p>
            <w:pPr>
              <w:spacing w:after="0"/>
              <w:rPr>
                <w:sz w:val="16"/>
                <w:szCs w:val="16"/>
                <w:color w:val="auto"/>
              </w:rPr>
            </w:pPr>
          </w:p>
        </w:tc>
        <w:tc>
          <w:tcPr>
            <w:tcW w:w="3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380" w:type="dxa"/>
            <w:vAlign w:val="bottom"/>
            <w:gridSpan w:val="2"/>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402</w:t>
            </w:r>
          </w:p>
        </w:tc>
        <w:tc>
          <w:tcPr>
            <w:tcW w:w="320" w:type="dxa"/>
            <w:vAlign w:val="bottom"/>
            <w:gridSpan w:val="2"/>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404</w:t>
            </w:r>
          </w:p>
        </w:tc>
        <w:tc>
          <w:tcPr>
            <w:tcW w:w="320" w:type="dxa"/>
            <w:vAlign w:val="bottom"/>
            <w:gridSpan w:val="2"/>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405</w:t>
            </w:r>
          </w:p>
        </w:tc>
        <w:tc>
          <w:tcPr>
            <w:tcW w:w="30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402</w:t>
            </w:r>
          </w:p>
        </w:tc>
        <w:tc>
          <w:tcPr>
            <w:tcW w:w="260" w:type="dxa"/>
            <w:vAlign w:val="bottom"/>
            <w:gridSpan w:val="2"/>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405</w:t>
            </w:r>
          </w:p>
        </w:tc>
        <w:tc>
          <w:tcPr>
            <w:tcW w:w="28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411</w:t>
            </w:r>
          </w:p>
        </w:tc>
        <w:tc>
          <w:tcPr>
            <w:tcW w:w="2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4"/>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shd w:val="clear" w:color="auto" w:fill="DBE5F1"/>
          </w:tcPr>
          <w:p>
            <w:pPr>
              <w:spacing w:after="0"/>
              <w:rPr>
                <w:sz w:val="16"/>
                <w:szCs w:val="16"/>
                <w:color w:val="auto"/>
              </w:rPr>
            </w:pPr>
          </w:p>
        </w:tc>
        <w:tc>
          <w:tcPr>
            <w:tcW w:w="180" w:type="dxa"/>
            <w:vAlign w:val="bottom"/>
            <w:gridSpan w:val="2"/>
            <w:shd w:val="clear" w:color="auto" w:fill="DBE5F1"/>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1,623</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3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87"/>
        </w:trPr>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80" w:type="dxa"/>
            <w:vAlign w:val="bottom"/>
          </w:tcPr>
          <w:p>
            <w:pPr>
              <w:spacing w:after="0"/>
              <w:rPr>
                <w:sz w:val="16"/>
                <w:szCs w:val="16"/>
                <w:color w:val="auto"/>
              </w:rPr>
            </w:pPr>
          </w:p>
        </w:tc>
        <w:tc>
          <w:tcPr>
            <w:tcW w:w="5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3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60" w:type="dxa"/>
            <w:vAlign w:val="bottom"/>
            <w:gridSpan w:val="4"/>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DBE5F1"/>
            </w:tcBorders>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DBE5F1"/>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DBE5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DBE5F1"/>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22"/>
        </w:trPr>
        <w:tc>
          <w:tcPr>
            <w:tcW w:w="3320" w:type="dxa"/>
            <w:vAlign w:val="bottom"/>
            <w:shd w:val="clear" w:color="auto" w:fill="DBE5F1"/>
          </w:tcPr>
          <w:p>
            <w:pPr>
              <w:ind w:left="30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80" w:type="dxa"/>
            <w:vAlign w:val="bottom"/>
            <w:shd w:val="clear" w:color="auto" w:fill="DBE5F1"/>
          </w:tcPr>
          <w:p>
            <w:pPr>
              <w:spacing w:after="0"/>
              <w:rPr>
                <w:sz w:val="10"/>
                <w:szCs w:val="10"/>
                <w:color w:val="auto"/>
              </w:rPr>
            </w:pPr>
          </w:p>
        </w:tc>
        <w:tc>
          <w:tcPr>
            <w:tcW w:w="520" w:type="dxa"/>
            <w:vAlign w:val="bottom"/>
            <w:gridSpan w:val="2"/>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0"/>
                <w:szCs w:val="10"/>
                <w:color w:val="auto"/>
              </w:rPr>
            </w:pPr>
          </w:p>
        </w:tc>
        <w:tc>
          <w:tcPr>
            <w:tcW w:w="320" w:type="dxa"/>
            <w:vAlign w:val="bottom"/>
            <w:shd w:val="clear" w:color="auto" w:fill="DBE5F1"/>
          </w:tcPr>
          <w:p>
            <w:pPr>
              <w:spacing w:after="0"/>
              <w:rPr>
                <w:sz w:val="10"/>
                <w:szCs w:val="10"/>
                <w:color w:val="auto"/>
              </w:rPr>
            </w:pPr>
          </w:p>
        </w:tc>
        <w:tc>
          <w:tcPr>
            <w:tcW w:w="36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0"/>
                <w:szCs w:val="10"/>
                <w:color w:val="auto"/>
              </w:rPr>
            </w:pPr>
          </w:p>
        </w:tc>
        <w:tc>
          <w:tcPr>
            <w:tcW w:w="300" w:type="dxa"/>
            <w:vAlign w:val="bottom"/>
            <w:shd w:val="clear" w:color="auto" w:fill="DBE5F1"/>
          </w:tcPr>
          <w:p>
            <w:pPr>
              <w:spacing w:after="0"/>
              <w:rPr>
                <w:sz w:val="10"/>
                <w:szCs w:val="10"/>
                <w:color w:val="auto"/>
              </w:rPr>
            </w:pPr>
          </w:p>
        </w:tc>
        <w:tc>
          <w:tcPr>
            <w:tcW w:w="400" w:type="dxa"/>
            <w:vAlign w:val="bottom"/>
            <w:gridSpan w:val="3"/>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44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DBE5F1"/>
          </w:tcPr>
          <w:p>
            <w:pPr>
              <w:spacing w:after="0"/>
              <w:rPr>
                <w:sz w:val="10"/>
                <w:szCs w:val="10"/>
                <w:color w:val="auto"/>
              </w:rPr>
            </w:pPr>
          </w:p>
        </w:tc>
        <w:tc>
          <w:tcPr>
            <w:tcW w:w="220" w:type="dxa"/>
            <w:vAlign w:val="bottom"/>
            <w:shd w:val="clear" w:color="auto" w:fill="DBE5F1"/>
          </w:tcPr>
          <w:p>
            <w:pPr>
              <w:spacing w:after="0"/>
              <w:rPr>
                <w:sz w:val="10"/>
                <w:szCs w:val="10"/>
                <w:color w:val="auto"/>
              </w:rPr>
            </w:pPr>
          </w:p>
        </w:tc>
        <w:tc>
          <w:tcPr>
            <w:tcW w:w="46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DBE5F1"/>
          </w:tcPr>
          <w:p>
            <w:pPr>
              <w:spacing w:after="0"/>
              <w:rPr>
                <w:sz w:val="10"/>
                <w:szCs w:val="10"/>
                <w:color w:val="auto"/>
              </w:rPr>
            </w:pPr>
          </w:p>
        </w:tc>
        <w:tc>
          <w:tcPr>
            <w:tcW w:w="200" w:type="dxa"/>
            <w:vAlign w:val="bottom"/>
            <w:shd w:val="clear" w:color="auto" w:fill="DBE5F1"/>
          </w:tcPr>
          <w:p>
            <w:pPr>
              <w:spacing w:after="0"/>
              <w:rPr>
                <w:sz w:val="10"/>
                <w:szCs w:val="10"/>
                <w:color w:val="auto"/>
              </w:rPr>
            </w:pPr>
          </w:p>
        </w:tc>
        <w:tc>
          <w:tcPr>
            <w:tcW w:w="48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52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0"/>
                <w:szCs w:val="10"/>
                <w:color w:val="auto"/>
              </w:rPr>
            </w:pPr>
          </w:p>
        </w:tc>
        <w:tc>
          <w:tcPr>
            <w:tcW w:w="200" w:type="dxa"/>
            <w:vAlign w:val="bottom"/>
            <w:shd w:val="clear" w:color="auto" w:fill="DBE5F1"/>
          </w:tcPr>
          <w:p>
            <w:pPr>
              <w:spacing w:after="0"/>
              <w:rPr>
                <w:sz w:val="10"/>
                <w:szCs w:val="10"/>
                <w:color w:val="auto"/>
              </w:rPr>
            </w:pPr>
          </w:p>
        </w:tc>
        <w:tc>
          <w:tcPr>
            <w:tcW w:w="480" w:type="dxa"/>
            <w:vAlign w:val="bottom"/>
            <w:gridSpan w:val="3"/>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120" w:type="dxa"/>
            <w:vAlign w:val="bottom"/>
            <w:shd w:val="clear" w:color="auto" w:fill="DBE5F1"/>
          </w:tcPr>
          <w:p>
            <w:pPr>
              <w:spacing w:after="0"/>
              <w:rPr>
                <w:sz w:val="10"/>
                <w:szCs w:val="10"/>
                <w:color w:val="auto"/>
              </w:rPr>
            </w:pPr>
          </w:p>
        </w:tc>
        <w:tc>
          <w:tcPr>
            <w:tcW w:w="38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58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9"/>
        </w:trPr>
        <w:tc>
          <w:tcPr>
            <w:tcW w:w="3320" w:type="dxa"/>
            <w:vAlign w:val="bottom"/>
            <w:shd w:val="clear" w:color="auto" w:fill="DBE5F1"/>
          </w:tcPr>
          <w:p>
            <w:pPr>
              <w:ind w:left="440"/>
              <w:spacing w:after="0" w:line="189" w:lineRule="exact"/>
              <w:rPr>
                <w:sz w:val="20"/>
                <w:szCs w:val="20"/>
                <w:color w:val="auto"/>
              </w:rPr>
            </w:pPr>
            <w:r>
              <w:rPr>
                <w:rFonts w:ascii="Times New Roman" w:cs="Times New Roman" w:eastAsia="Times New Roman" w:hAnsi="Times New Roman"/>
                <w:sz w:val="14"/>
                <w:szCs w:val="14"/>
                <w:color w:val="auto"/>
              </w:rPr>
              <w:t>Adjusted for Impact of Sprint Cancellations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gridSpan w:val="2"/>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36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8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20" w:type="dxa"/>
            <w:vAlign w:val="bottom"/>
            <w:tcBorders>
              <w:bottom w:val="single" w:sz="8" w:color="DBE5F1"/>
            </w:tcBorders>
          </w:tcPr>
          <w:p>
            <w:pPr>
              <w:ind w:left="160"/>
              <w:spacing w:after="0" w:line="18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(a)(b)</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DBE5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DBE5F1"/>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3320" w:type="dxa"/>
            <w:vAlign w:val="bottom"/>
            <w:shd w:val="clear" w:color="auto" w:fill="DBE5F1"/>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5"/>
                <w:szCs w:val="15"/>
                <w:color w:val="auto"/>
              </w:rPr>
            </w:pPr>
          </w:p>
        </w:tc>
        <w:tc>
          <w:tcPr>
            <w:tcW w:w="52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5"/>
                <w:szCs w:val="15"/>
                <w:color w:val="auto"/>
              </w:rPr>
            </w:pPr>
          </w:p>
        </w:tc>
        <w:tc>
          <w:tcPr>
            <w:tcW w:w="320" w:type="dxa"/>
            <w:vAlign w:val="bottom"/>
            <w:shd w:val="clear" w:color="auto" w:fill="DBE5F1"/>
          </w:tcPr>
          <w:p>
            <w:pPr>
              <w:spacing w:after="0"/>
              <w:rPr>
                <w:sz w:val="15"/>
                <w:szCs w:val="15"/>
                <w:color w:val="auto"/>
              </w:rPr>
            </w:pPr>
          </w:p>
        </w:tc>
        <w:tc>
          <w:tcPr>
            <w:tcW w:w="3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40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5"/>
                <w:szCs w:val="15"/>
                <w:color w:val="auto"/>
              </w:rPr>
            </w:pPr>
          </w:p>
        </w:tc>
        <w:tc>
          <w:tcPr>
            <w:tcW w:w="240" w:type="dxa"/>
            <w:vAlign w:val="bottom"/>
            <w:shd w:val="clear" w:color="auto" w:fill="DBE5F1"/>
          </w:tcPr>
          <w:p>
            <w:pPr>
              <w:spacing w:after="0"/>
              <w:rPr>
                <w:sz w:val="15"/>
                <w:szCs w:val="15"/>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BE5F1"/>
          </w:tcPr>
          <w:p>
            <w:pPr>
              <w:spacing w:after="0"/>
              <w:rPr>
                <w:sz w:val="15"/>
                <w:szCs w:val="15"/>
                <w:color w:val="auto"/>
              </w:rPr>
            </w:pPr>
          </w:p>
        </w:tc>
        <w:tc>
          <w:tcPr>
            <w:tcW w:w="220" w:type="dxa"/>
            <w:vAlign w:val="bottom"/>
            <w:shd w:val="clear" w:color="auto" w:fill="DBE5F1"/>
          </w:tcPr>
          <w:p>
            <w:pPr>
              <w:spacing w:after="0"/>
              <w:rPr>
                <w:sz w:val="15"/>
                <w:szCs w:val="15"/>
                <w:color w:val="auto"/>
              </w:rPr>
            </w:pPr>
          </w:p>
        </w:tc>
        <w:tc>
          <w:tcPr>
            <w:tcW w:w="4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7"/>
        </w:trPr>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8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3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8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DBE5F1"/>
          </w:tcPr>
          <w:p>
            <w:pPr>
              <w:spacing w:after="0"/>
              <w:rPr>
                <w:sz w:val="16"/>
                <w:szCs w:val="16"/>
                <w:color w:val="auto"/>
              </w:rPr>
            </w:pPr>
          </w:p>
        </w:tc>
        <w:tc>
          <w:tcPr>
            <w:tcW w:w="320" w:type="dxa"/>
            <w:vAlign w:val="bottom"/>
            <w:shd w:val="clear" w:color="auto" w:fill="DBE5F1"/>
          </w:tcPr>
          <w:p>
            <w:pPr>
              <w:spacing w:after="0"/>
              <w:rPr>
                <w:sz w:val="16"/>
                <w:szCs w:val="16"/>
                <w:color w:val="auto"/>
              </w:rPr>
            </w:pPr>
          </w:p>
        </w:tc>
        <w:tc>
          <w:tcPr>
            <w:tcW w:w="3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7"/>
        </w:trPr>
        <w:tc>
          <w:tcPr>
            <w:tcW w:w="3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80" w:type="dxa"/>
            <w:vAlign w:val="bottom"/>
          </w:tcPr>
          <w:p>
            <w:pPr>
              <w:spacing w:after="0"/>
              <w:rPr>
                <w:sz w:val="16"/>
                <w:szCs w:val="16"/>
                <w:color w:val="auto"/>
              </w:rPr>
            </w:pPr>
          </w:p>
        </w:tc>
        <w:tc>
          <w:tcPr>
            <w:tcW w:w="5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92"/>
        </w:trPr>
        <w:tc>
          <w:tcPr>
            <w:tcW w:w="332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80" w:type="dxa"/>
            <w:vAlign w:val="bottom"/>
            <w:shd w:val="clear" w:color="auto" w:fill="DBE5F1"/>
          </w:tcPr>
          <w:p>
            <w:pPr>
              <w:spacing w:after="0"/>
              <w:rPr>
                <w:sz w:val="16"/>
                <w:szCs w:val="16"/>
                <w:color w:val="auto"/>
              </w:rPr>
            </w:pPr>
          </w:p>
        </w:tc>
        <w:tc>
          <w:tcPr>
            <w:tcW w:w="600" w:type="dxa"/>
            <w:vAlign w:val="bottom"/>
            <w:gridSpan w:val="3"/>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6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00" w:type="dxa"/>
            <w:vAlign w:val="bottom"/>
            <w:gridSpan w:val="2"/>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20" w:type="dxa"/>
            <w:vAlign w:val="bottom"/>
            <w:gridSpan w:val="2"/>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46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527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2,219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2,092</w:t>
            </w:r>
          </w:p>
        </w:tc>
        <w:tc>
          <w:tcPr>
            <w:tcW w:w="0" w:type="dxa"/>
            <w:vAlign w:val="bottom"/>
          </w:tcPr>
          <w:p>
            <w:pPr>
              <w:spacing w:after="0"/>
              <w:rPr>
                <w:sz w:val="1"/>
                <w:szCs w:val="1"/>
                <w:color w:val="auto"/>
              </w:rPr>
            </w:pPr>
          </w:p>
        </w:tc>
      </w:tr>
      <w:tr>
        <w:trPr>
          <w:trHeight w:val="20"/>
        </w:trPr>
        <w:tc>
          <w:tcPr>
            <w:tcW w:w="332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2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380" w:type="dxa"/>
            <w:vAlign w:val="bottom"/>
            <w:shd w:val="clear" w:color="auto" w:fill="DBE5F1"/>
          </w:tcPr>
          <w:p>
            <w:pPr>
              <w:spacing w:after="0"/>
              <w:rPr>
                <w:sz w:val="13"/>
                <w:szCs w:val="13"/>
                <w:color w:val="auto"/>
              </w:rPr>
            </w:pPr>
          </w:p>
        </w:tc>
        <w:tc>
          <w:tcPr>
            <w:tcW w:w="1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32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3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22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2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3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3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340" w:type="dxa"/>
            <w:vAlign w:val="bottom"/>
            <w:shd w:val="clear" w:color="auto" w:fill="DBE5F1"/>
          </w:tcPr>
          <w:p>
            <w:pPr>
              <w:spacing w:after="0"/>
              <w:rPr>
                <w:sz w:val="13"/>
                <w:szCs w:val="13"/>
                <w:color w:val="auto"/>
              </w:rPr>
            </w:pPr>
          </w:p>
        </w:tc>
        <w:tc>
          <w:tcPr>
            <w:tcW w:w="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38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58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32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Site rental revenues as a percentage of prior year site</w:t>
            </w:r>
          </w:p>
        </w:tc>
        <w:tc>
          <w:tcPr>
            <w:tcW w:w="180" w:type="dxa"/>
            <w:vAlign w:val="bottom"/>
            <w:shd w:val="clear" w:color="auto" w:fill="DBE5F1"/>
          </w:tcPr>
          <w:p>
            <w:pPr>
              <w:spacing w:after="0"/>
              <w:rPr>
                <w:sz w:val="12"/>
                <w:szCs w:val="12"/>
                <w:color w:val="auto"/>
              </w:rPr>
            </w:pPr>
          </w:p>
        </w:tc>
        <w:tc>
          <w:tcPr>
            <w:tcW w:w="52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80" w:type="dxa"/>
            <w:vAlign w:val="bottom"/>
            <w:shd w:val="clear" w:color="auto" w:fill="DBE5F1"/>
          </w:tcPr>
          <w:p>
            <w:pPr>
              <w:spacing w:after="0"/>
              <w:rPr>
                <w:sz w:val="12"/>
                <w:szCs w:val="12"/>
                <w:color w:val="auto"/>
              </w:rPr>
            </w:pPr>
          </w:p>
        </w:tc>
        <w:tc>
          <w:tcPr>
            <w:tcW w:w="680" w:type="dxa"/>
            <w:vAlign w:val="bottom"/>
            <w:gridSpan w:val="4"/>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8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40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c>
          <w:tcPr>
            <w:tcW w:w="4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46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48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96"/>
              </w:rPr>
              <w:t>(20.4)%</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48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660" w:type="dxa"/>
            <w:vAlign w:val="bottom"/>
            <w:gridSpan w:val="4"/>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8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5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9"/>
        </w:trPr>
        <w:tc>
          <w:tcPr>
            <w:tcW w:w="332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rental revenues</w:t>
            </w:r>
          </w:p>
        </w:tc>
        <w:tc>
          <w:tcPr>
            <w:tcW w:w="180" w:type="dxa"/>
            <w:vAlign w:val="bottom"/>
            <w:shd w:val="clear" w:color="auto" w:fill="DBE5F1"/>
          </w:tcPr>
          <w:p>
            <w:pPr>
              <w:spacing w:after="0"/>
              <w:rPr>
                <w:sz w:val="16"/>
                <w:szCs w:val="16"/>
                <w:color w:val="auto"/>
              </w:rPr>
            </w:pPr>
          </w:p>
        </w:tc>
        <w:tc>
          <w:tcPr>
            <w:tcW w:w="520" w:type="dxa"/>
            <w:vAlign w:val="bottom"/>
            <w:gridSpan w:val="2"/>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80" w:type="dxa"/>
            <w:vAlign w:val="bottom"/>
            <w:gridSpan w:val="4"/>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60" w:type="dxa"/>
            <w:vAlign w:val="bottom"/>
            <w:gridSpan w:val="4"/>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Adjusted for Impact of Sprint Cancellations as a</w:t>
            </w:r>
          </w:p>
        </w:tc>
        <w:tc>
          <w:tcPr>
            <w:tcW w:w="18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0.5 %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89"/>
        </w:trPr>
        <w:tc>
          <w:tcPr>
            <w:tcW w:w="332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20" w:type="dxa"/>
            <w:vAlign w:val="bottom"/>
            <w:shd w:val="clear" w:color="auto" w:fill="DBE5F1"/>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 a</w:t>
            </w:r>
          </w:p>
        </w:tc>
        <w:tc>
          <w:tcPr>
            <w:tcW w:w="180" w:type="dxa"/>
            <w:vAlign w:val="bottom"/>
            <w:shd w:val="clear" w:color="auto" w:fill="DBE5F1"/>
          </w:tcPr>
          <w:p>
            <w:pPr>
              <w:spacing w:after="0"/>
              <w:rPr>
                <w:sz w:val="12"/>
                <w:szCs w:val="12"/>
                <w:color w:val="auto"/>
              </w:rPr>
            </w:pPr>
          </w:p>
        </w:tc>
        <w:tc>
          <w:tcPr>
            <w:tcW w:w="520" w:type="dxa"/>
            <w:vAlign w:val="bottom"/>
            <w:gridSpan w:val="2"/>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80" w:type="dxa"/>
            <w:vAlign w:val="bottom"/>
            <w:shd w:val="clear" w:color="auto" w:fill="DBE5F1"/>
          </w:tcPr>
          <w:p>
            <w:pPr>
              <w:spacing w:after="0"/>
              <w:rPr>
                <w:sz w:val="12"/>
                <w:szCs w:val="12"/>
                <w:color w:val="auto"/>
              </w:rPr>
            </w:pPr>
          </w:p>
        </w:tc>
        <w:tc>
          <w:tcPr>
            <w:tcW w:w="680" w:type="dxa"/>
            <w:vAlign w:val="bottom"/>
            <w:gridSpan w:val="4"/>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40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c>
          <w:tcPr>
            <w:tcW w:w="44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46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48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480" w:type="dxa"/>
            <w:vAlign w:val="bottom"/>
            <w:gridSpan w:val="3"/>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3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8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c>
          <w:tcPr>
            <w:tcW w:w="5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9"/>
        </w:trPr>
        <w:tc>
          <w:tcPr>
            <w:tcW w:w="3320" w:type="dxa"/>
            <w:vAlign w:val="bottom"/>
            <w:shd w:val="clear" w:color="auto" w:fill="DBE5F1"/>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80" w:type="dxa"/>
            <w:vAlign w:val="bottom"/>
            <w:shd w:val="clear" w:color="auto" w:fill="DBE5F1"/>
          </w:tcPr>
          <w:p>
            <w:pPr>
              <w:spacing w:after="0"/>
              <w:rPr>
                <w:sz w:val="16"/>
                <w:szCs w:val="16"/>
                <w:color w:val="auto"/>
              </w:rPr>
            </w:pPr>
          </w:p>
        </w:tc>
        <w:tc>
          <w:tcPr>
            <w:tcW w:w="520" w:type="dxa"/>
            <w:vAlign w:val="bottom"/>
            <w:gridSpan w:val="2"/>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680" w:type="dxa"/>
            <w:vAlign w:val="bottom"/>
            <w:gridSpan w:val="4"/>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300" w:type="dxa"/>
            <w:vAlign w:val="bottom"/>
            <w:shd w:val="clear" w:color="auto" w:fill="DBE5F1"/>
          </w:tcPr>
          <w:p>
            <w:pPr>
              <w:spacing w:after="0"/>
              <w:rPr>
                <w:sz w:val="16"/>
                <w:szCs w:val="16"/>
                <w:color w:val="auto"/>
              </w:rPr>
            </w:pPr>
          </w:p>
        </w:tc>
        <w:tc>
          <w:tcPr>
            <w:tcW w:w="40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40" w:type="dxa"/>
            <w:vAlign w:val="bottom"/>
            <w:shd w:val="clear" w:color="auto" w:fill="DBE5F1"/>
          </w:tcPr>
          <w:p>
            <w:pPr>
              <w:spacing w:after="0"/>
              <w:rPr>
                <w:sz w:val="16"/>
                <w:szCs w:val="16"/>
                <w:color w:val="auto"/>
              </w:rPr>
            </w:pPr>
          </w:p>
        </w:tc>
        <w:tc>
          <w:tcPr>
            <w:tcW w:w="44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46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gridSpan w:val="3"/>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80" w:type="dxa"/>
            <w:vAlign w:val="bottom"/>
            <w:gridSpan w:val="3"/>
            <w:vMerge w:val="continue"/>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38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3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7"/>
          </w:tcPr>
          <w:p>
            <w:pPr>
              <w:ind w:left="60"/>
              <w:spacing w:after="0"/>
              <w:rPr>
                <w:sz w:val="20"/>
                <w:szCs w:val="20"/>
                <w:color w:val="auto"/>
              </w:rPr>
            </w:pPr>
            <w:r>
              <w:rPr>
                <w:rFonts w:ascii="Times New Roman" w:cs="Times New Roman" w:eastAsia="Times New Roman" w:hAnsi="Times New Roman"/>
                <w:sz w:val="14"/>
                <w:szCs w:val="14"/>
                <w:b w:val="1"/>
                <w:bCs w:val="1"/>
                <w:color w:val="auto"/>
              </w:rPr>
              <w:t>FIBER SEGMENT SUMMARY OF CAPITAL EXPENDITURES</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32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3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400" w:type="dxa"/>
            <w:vAlign w:val="bottom"/>
            <w:gridSpan w:val="3"/>
            <w:vMerge w:val="restart"/>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520" w:type="dxa"/>
            <w:vAlign w:val="bottom"/>
            <w:gridSpan w:val="3"/>
            <w:vMerge w:val="restart"/>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20" w:type="dxa"/>
            <w:vAlign w:val="bottom"/>
            <w:gridSpan w:val="7"/>
            <w:shd w:val="clear" w:color="auto" w:fill="DBDBDB"/>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3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400" w:type="dxa"/>
            <w:vAlign w:val="bottom"/>
            <w:tcBorders>
              <w:bottom w:val="single" w:sz="8" w:color="auto"/>
            </w:tcBorders>
            <w:gridSpan w:val="3"/>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gridSpan w:val="3"/>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gridSpan w:val="6"/>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3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8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gridSpan w:val="2"/>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gridSpan w:val="2"/>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Q3</w:t>
            </w:r>
          </w:p>
        </w:tc>
        <w:tc>
          <w:tcPr>
            <w:tcW w:w="1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320" w:type="dxa"/>
            <w:vAlign w:val="bottom"/>
            <w:tcBorders>
              <w:bottom w:val="single" w:sz="8" w:color="auto"/>
            </w:tcBorders>
            <w:gridSpan w:val="2"/>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9"/>
              </w:rPr>
              <w:t>Q4</w:t>
            </w:r>
          </w:p>
        </w:tc>
        <w:tc>
          <w:tcPr>
            <w:tcW w:w="1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3"/>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3"/>
            <w:shd w:val="clear" w:color="auto" w:fill="DBDBDB"/>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3"/>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Q3</w:t>
            </w:r>
          </w:p>
        </w:tc>
        <w:tc>
          <w:tcPr>
            <w:tcW w:w="6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4"/>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2"/>
        </w:trPr>
        <w:tc>
          <w:tcPr>
            <w:tcW w:w="33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Discretionary capital expenditures</w:t>
            </w:r>
          </w:p>
        </w:tc>
        <w:tc>
          <w:tcPr>
            <w:tcW w:w="180" w:type="dxa"/>
            <w:vAlign w:val="bottom"/>
            <w:shd w:val="clear" w:color="auto" w:fill="DBE5F1"/>
          </w:tcPr>
          <w:p>
            <w:pPr>
              <w:spacing w:after="0"/>
              <w:rPr>
                <w:sz w:val="15"/>
                <w:szCs w:val="15"/>
                <w:color w:val="auto"/>
              </w:rPr>
            </w:pPr>
          </w:p>
        </w:tc>
        <w:tc>
          <w:tcPr>
            <w:tcW w:w="5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360" w:type="dxa"/>
            <w:vAlign w:val="bottom"/>
            <w:gridSpan w:val="3"/>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400" w:type="dxa"/>
            <w:vAlign w:val="bottom"/>
            <w:gridSpan w:val="3"/>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440" w:type="dxa"/>
            <w:vAlign w:val="bottom"/>
            <w:gridSpan w:val="3"/>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460" w:type="dxa"/>
            <w:vAlign w:val="bottom"/>
            <w:gridSpan w:val="3"/>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480" w:type="dxa"/>
            <w:vAlign w:val="bottom"/>
            <w:gridSpan w:val="3"/>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520" w:type="dxa"/>
            <w:vAlign w:val="bottom"/>
            <w:gridSpan w:val="3"/>
            <w:shd w:val="clear" w:color="auto" w:fill="DBE5F1"/>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480" w:type="dxa"/>
            <w:vAlign w:val="bottom"/>
            <w:gridSpan w:val="3"/>
            <w:shd w:val="clear" w:color="auto" w:fill="DBE5F1"/>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95"/>
              </w:rPr>
              <w:t>223</w:t>
            </w:r>
          </w:p>
        </w:tc>
        <w:tc>
          <w:tcPr>
            <w:tcW w:w="280" w:type="dxa"/>
            <w:vAlign w:val="bottom"/>
            <w:gridSpan w:val="3"/>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4"/>
                <w:szCs w:val="14"/>
                <w:color w:val="auto"/>
              </w:rPr>
              <w:t>1,131</w:t>
            </w:r>
          </w:p>
        </w:tc>
        <w:tc>
          <w:tcPr>
            <w:tcW w:w="2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87"/>
        </w:trPr>
        <w:tc>
          <w:tcPr>
            <w:tcW w:w="332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80" w:type="dxa"/>
            <w:vAlign w:val="bottom"/>
            <w:tcBorders>
              <w:bottom w:val="single" w:sz="8" w:color="DBE5F1"/>
            </w:tcBorders>
          </w:tcPr>
          <w:p>
            <w:pPr>
              <w:spacing w:after="0"/>
              <w:rPr>
                <w:sz w:val="16"/>
                <w:szCs w:val="16"/>
                <w:color w:val="auto"/>
              </w:rPr>
            </w:pPr>
          </w:p>
        </w:tc>
        <w:tc>
          <w:tcPr>
            <w:tcW w:w="3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3"/>
        </w:trPr>
        <w:tc>
          <w:tcPr>
            <w:tcW w:w="33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 capital expenditures</w:t>
            </w:r>
          </w:p>
        </w:tc>
        <w:tc>
          <w:tcPr>
            <w:tcW w:w="18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3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3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20" w:type="dxa"/>
            <w:vAlign w:val="bottom"/>
            <w:shd w:val="clear" w:color="auto" w:fill="DBE5F1"/>
          </w:tcPr>
          <w:p>
            <w:pPr>
              <w:spacing w:after="0"/>
              <w:rPr>
                <w:sz w:val="15"/>
                <w:szCs w:val="15"/>
                <w:color w:val="auto"/>
              </w:rPr>
            </w:pPr>
          </w:p>
        </w:tc>
        <w:tc>
          <w:tcPr>
            <w:tcW w:w="3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40" w:type="dxa"/>
            <w:vAlign w:val="bottom"/>
            <w:shd w:val="clear" w:color="auto" w:fill="DBE5F1"/>
          </w:tcPr>
          <w:p>
            <w:pPr>
              <w:spacing w:after="0"/>
              <w:rPr>
                <w:sz w:val="15"/>
                <w:szCs w:val="15"/>
                <w:color w:val="auto"/>
              </w:rPr>
            </w:pPr>
          </w:p>
        </w:tc>
        <w:tc>
          <w:tcPr>
            <w:tcW w:w="3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3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2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spacing w:after="0"/>
              <w:rPr>
                <w:sz w:val="15"/>
                <w:szCs w:val="15"/>
                <w:color w:val="auto"/>
              </w:rPr>
            </w:pPr>
          </w:p>
        </w:tc>
        <w:tc>
          <w:tcPr>
            <w:tcW w:w="2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260" w:type="dxa"/>
            <w:vAlign w:val="bottom"/>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95"/>
              </w:rPr>
              <w:t>226</w:t>
            </w:r>
          </w:p>
        </w:tc>
        <w:tc>
          <w:tcPr>
            <w:tcW w:w="8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460" w:type="dxa"/>
            <w:vAlign w:val="bottom"/>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DBE5F1"/>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Less: Prepaid rent additions</w:t>
            </w:r>
            <w:r>
              <w:rPr>
                <w:rFonts w:ascii="Times New Roman" w:cs="Times New Roman" w:eastAsia="Times New Roman" w:hAnsi="Times New Roman"/>
                <w:sz w:val="18"/>
                <w:szCs w:val="18"/>
                <w:color w:val="auto"/>
                <w:vertAlign w:val="superscript"/>
              </w:rPr>
              <w:t>(d)</w:t>
            </w:r>
          </w:p>
        </w:tc>
        <w:tc>
          <w:tcPr>
            <w:tcW w:w="180" w:type="dxa"/>
            <w:vAlign w:val="bottom"/>
            <w:tcBorders>
              <w:bottom w:val="single" w:sz="8" w:color="DBE5F1"/>
            </w:tcBorders>
          </w:tcPr>
          <w:p>
            <w:pPr>
              <w:spacing w:after="0"/>
              <w:rPr>
                <w:sz w:val="16"/>
                <w:szCs w:val="16"/>
                <w:color w:val="auto"/>
              </w:rPr>
            </w:pPr>
          </w:p>
        </w:tc>
        <w:tc>
          <w:tcPr>
            <w:tcW w:w="3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147</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6"/>
        </w:trPr>
        <w:tc>
          <w:tcPr>
            <w:tcW w:w="332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Capital expenditures less prepaid rent additions</w:t>
            </w:r>
          </w:p>
        </w:tc>
        <w:tc>
          <w:tcPr>
            <w:tcW w:w="180" w:type="dxa"/>
            <w:vAlign w:val="bottom"/>
            <w:tcBorders>
              <w:bottom w:val="single" w:sz="8" w:color="DBE5F1"/>
            </w:tcBorders>
            <w:shd w:val="clear" w:color="auto" w:fill="DBE5F1"/>
          </w:tcPr>
          <w:p>
            <w:pPr>
              <w:spacing w:after="0"/>
              <w:rPr>
                <w:sz w:val="17"/>
                <w:szCs w:val="17"/>
                <w:color w:val="auto"/>
              </w:rPr>
            </w:pPr>
          </w:p>
        </w:tc>
        <w:tc>
          <w:tcPr>
            <w:tcW w:w="3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DBE5F1"/>
          </w:tcPr>
          <w:p>
            <w:pPr>
              <w:spacing w:after="0"/>
              <w:rPr>
                <w:sz w:val="17"/>
                <w:szCs w:val="17"/>
                <w:color w:val="auto"/>
              </w:rPr>
            </w:pPr>
          </w:p>
        </w:tc>
        <w:tc>
          <w:tcPr>
            <w:tcW w:w="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20" w:type="dxa"/>
            <w:vAlign w:val="bottom"/>
            <w:tcBorders>
              <w:bottom w:val="single" w:sz="8" w:color="auto"/>
            </w:tcBorders>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40" w:type="dxa"/>
            <w:vAlign w:val="bottom"/>
            <w:tcBorders>
              <w:bottom w:val="single" w:sz="8" w:color="auto"/>
            </w:tcBorders>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300" w:type="dxa"/>
            <w:vAlign w:val="bottom"/>
            <w:tcBorders>
              <w:bottom w:val="single" w:sz="8" w:color="auto"/>
            </w:tcBorders>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320" w:type="dxa"/>
            <w:vAlign w:val="bottom"/>
            <w:tcBorders>
              <w:bottom w:val="single" w:sz="8" w:color="auto"/>
            </w:tcBorders>
            <w:shd w:val="clear" w:color="auto" w:fill="DBE5F1"/>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340" w:type="dxa"/>
            <w:vAlign w:val="bottom"/>
            <w:tcBorders>
              <w:bottom w:val="single" w:sz="8" w:color="auto"/>
            </w:tcBorders>
            <w:shd w:val="clear" w:color="auto" w:fill="DBE5F1"/>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gridSpan w:val="3"/>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20" w:type="dxa"/>
            <w:vAlign w:val="bottom"/>
            <w:tcBorders>
              <w:bottom w:val="single" w:sz="8" w:color="auto"/>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20"/>
        </w:trPr>
        <w:tc>
          <w:tcPr>
            <w:tcW w:w="332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38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3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240" w:type="dxa"/>
            <w:vAlign w:val="bottom"/>
            <w:tcBorders>
              <w:top w:val="single" w:sz="8" w:color="DBE5F1"/>
              <w:bottom w:val="single" w:sz="8" w:color="auto"/>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22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3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3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340" w:type="dxa"/>
            <w:vAlign w:val="bottom"/>
            <w:tcBorders>
              <w:top w:val="single" w:sz="8" w:color="DBE5F1"/>
              <w:bottom w:val="single" w:sz="8" w:color="auto"/>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3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DBE5F1"/>
              <w:bottom w:val="single" w:sz="8" w:color="auto"/>
            </w:tcBorders>
          </w:tcPr>
          <w:p>
            <w:pPr>
              <w:spacing w:after="0" w:line="20" w:lineRule="exact"/>
              <w:rPr>
                <w:sz w:val="1"/>
                <w:szCs w:val="1"/>
                <w:color w:val="auto"/>
              </w:rPr>
            </w:pPr>
          </w:p>
        </w:tc>
        <w:tc>
          <w:tcPr>
            <w:tcW w:w="58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285" w:hanging="285"/>
        <w:spacing w:after="0" w:line="256" w:lineRule="auto"/>
        <w:tabs>
          <w:tab w:leader="none" w:pos="28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Organic Contribution to Site Rental Billings as Adjusted for Impact of Sprint Cancellations, discretionary capital expenditures and sustaining capital expenditures.</w:t>
      </w:r>
    </w:p>
    <w:p>
      <w:pPr>
        <w:spacing w:after="0" w:line="1" w:lineRule="exact"/>
        <w:rPr>
          <w:rFonts w:ascii="Times New Roman" w:cs="Times New Roman" w:eastAsia="Times New Roman" w:hAnsi="Times New Roman"/>
          <w:sz w:val="13"/>
          <w:szCs w:val="13"/>
          <w:color w:val="auto"/>
        </w:rPr>
      </w:pPr>
    </w:p>
    <w:p>
      <w:pPr>
        <w:ind w:left="285" w:right="20" w:hanging="285"/>
        <w:spacing w:after="0" w:line="246" w:lineRule="auto"/>
        <w:tabs>
          <w:tab w:leader="none" w:pos="27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$5 million and $2 million of non-renewals associated with Sprint Cancellations that related to small cells and fiber solutions, respectively, and in full year 2023, there were $14 million and $7 million of non-renewals associated with Sprint Cancellations that related to small cells and fiber solutions, respectively.</w:t>
      </w:r>
    </w:p>
    <w:p>
      <w:pPr>
        <w:spacing w:after="0" w:line="1" w:lineRule="exact"/>
        <w:rPr>
          <w:rFonts w:ascii="Times New Roman" w:cs="Times New Roman" w:eastAsia="Times New Roman" w:hAnsi="Times New Roman"/>
          <w:sz w:val="13"/>
          <w:szCs w:val="13"/>
          <w:color w:val="auto"/>
        </w:rPr>
      </w:pPr>
    </w:p>
    <w:p>
      <w:pPr>
        <w:ind w:left="285" w:right="20" w:hanging="285"/>
        <w:spacing w:after="0" w:line="237" w:lineRule="auto"/>
        <w:tabs>
          <w:tab w:leader="none" w:pos="28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ind w:left="285" w:hanging="285"/>
        <w:spacing w:after="0"/>
        <w:tabs>
          <w:tab w:leader="none" w:pos="285"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up-front consideration from long-term tenant contracts (commonly referred to as prepaid rent) that are amortized and recognized as revenue over the associated estimated lease term in accordance with GAAP.</w:t>
      </w:r>
    </w:p>
    <w:p>
      <w:pPr>
        <w:spacing w:after="0" w:line="38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65"/>
          </w:cols>
          <w:pgMar w:left="315" w:top="120" w:right="319" w:bottom="1440" w:gutter="0" w:footer="0" w:header="0"/>
        </w:sectPr>
      </w:pPr>
    </w:p>
    <w:bookmarkStart w:id="56" w:name="page57"/>
    <w:bookmarkEnd w:id="56"/>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FIBER SEGMENT REVENUE DETAIL BY LINE OF BUSINESS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22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800" w:type="dxa"/>
            <w:vAlign w:val="bottom"/>
            <w:tcBorders>
              <w:top w:val="single" w:sz="8" w:color="auto"/>
            </w:tcBorders>
            <w:gridSpan w:val="3"/>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4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840" w:type="dxa"/>
            <w:vAlign w:val="bottom"/>
            <w:tcBorders>
              <w:top w:val="single" w:sz="8" w:color="auto"/>
            </w:tcBorders>
            <w:gridSpan w:val="3"/>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6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460" w:type="dxa"/>
            <w:vAlign w:val="bottom"/>
            <w:tcBorders>
              <w:top w:val="single" w:sz="8" w:color="auto"/>
            </w:tcBorders>
            <w:gridSpan w:val="4"/>
            <w:shd w:val="clear" w:color="auto" w:fill="DBDBDB"/>
          </w:tcPr>
          <w:p>
            <w:pPr>
              <w:jc w:val="right"/>
              <w:ind w:right="29"/>
              <w:spacing w:after="0" w:line="139" w:lineRule="exact"/>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0" w:type="dxa"/>
            <w:vAlign w:val="bottom"/>
          </w:tcPr>
          <w:p>
            <w:pPr>
              <w:spacing w:after="0"/>
              <w:rPr>
                <w:sz w:val="1"/>
                <w:szCs w:val="1"/>
                <w:color w:val="auto"/>
              </w:rPr>
            </w:pPr>
          </w:p>
        </w:tc>
      </w:tr>
      <w:tr>
        <w:trPr>
          <w:trHeight w:val="186"/>
        </w:trPr>
        <w:tc>
          <w:tcPr>
            <w:tcW w:w="32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gridSpan w:val="3"/>
            <w:vMerge w:val="continue"/>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gridSpan w:val="3"/>
            <w:vMerge w:val="continue"/>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60" w:type="dxa"/>
            <w:vAlign w:val="bottom"/>
            <w:tcBorders>
              <w:bottom w:val="single" w:sz="8" w:color="auto"/>
            </w:tcBorders>
            <w:gridSpan w:val="4"/>
            <w:shd w:val="clear" w:color="auto" w:fill="DBDBDB"/>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5"/>
        </w:trPr>
        <w:tc>
          <w:tcPr>
            <w:tcW w:w="3220" w:type="dxa"/>
            <w:vAlign w:val="bottom"/>
            <w:shd w:val="clear" w:color="auto" w:fill="DBDBDB"/>
          </w:tcPr>
          <w:p>
            <w:pPr>
              <w:ind w:left="20"/>
              <w:spacing w:after="0" w:line="125" w:lineRule="exact"/>
              <w:rPr>
                <w:sz w:val="20"/>
                <w:szCs w:val="20"/>
                <w:color w:val="auto"/>
              </w:rPr>
            </w:pPr>
            <w:r>
              <w:rPr>
                <w:rFonts w:ascii="Times New Roman" w:cs="Times New Roman" w:eastAsia="Times New Roman" w:hAnsi="Times New Roman"/>
                <w:sz w:val="14"/>
                <w:szCs w:val="14"/>
                <w:i w:val="1"/>
                <w:iCs w:val="1"/>
                <w:color w:val="auto"/>
              </w:rPr>
              <w:t>(dollars in millions; totals may not sum due to</w:t>
            </w:r>
          </w:p>
        </w:tc>
        <w:tc>
          <w:tcPr>
            <w:tcW w:w="160" w:type="dxa"/>
            <w:vAlign w:val="bottom"/>
            <w:shd w:val="clear" w:color="auto" w:fill="DBDBDB"/>
          </w:tcPr>
          <w:p>
            <w:pPr>
              <w:spacing w:after="0"/>
              <w:rPr>
                <w:sz w:val="10"/>
                <w:szCs w:val="10"/>
                <w:color w:val="auto"/>
              </w:rPr>
            </w:pPr>
          </w:p>
        </w:tc>
        <w:tc>
          <w:tcPr>
            <w:tcW w:w="640" w:type="dxa"/>
            <w:vAlign w:val="bottom"/>
            <w:gridSpan w:val="2"/>
            <w:vMerge w:val="restart"/>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shd w:val="clear" w:color="auto" w:fill="DBDBDB"/>
          </w:tcPr>
          <w:p>
            <w:pPr>
              <w:spacing w:after="0"/>
              <w:rPr>
                <w:sz w:val="10"/>
                <w:szCs w:val="10"/>
                <w:color w:val="auto"/>
              </w:rPr>
            </w:pPr>
          </w:p>
        </w:tc>
        <w:tc>
          <w:tcPr>
            <w:tcW w:w="620" w:type="dxa"/>
            <w:vAlign w:val="bottom"/>
            <w:gridSpan w:val="2"/>
            <w:vMerge w:val="restart"/>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shd w:val="clear" w:color="auto" w:fill="DBDBDB"/>
          </w:tcPr>
          <w:p>
            <w:pPr>
              <w:spacing w:after="0"/>
              <w:rPr>
                <w:sz w:val="10"/>
                <w:szCs w:val="10"/>
                <w:color w:val="auto"/>
              </w:rPr>
            </w:pPr>
          </w:p>
        </w:tc>
        <w:tc>
          <w:tcPr>
            <w:tcW w:w="620" w:type="dxa"/>
            <w:vAlign w:val="bottom"/>
            <w:gridSpan w:val="2"/>
            <w:vMerge w:val="restart"/>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shd w:val="clear" w:color="auto" w:fill="DBDBDB"/>
          </w:tcPr>
          <w:p>
            <w:pPr>
              <w:spacing w:after="0"/>
              <w:rPr>
                <w:sz w:val="10"/>
                <w:szCs w:val="10"/>
                <w:color w:val="auto"/>
              </w:rPr>
            </w:pPr>
          </w:p>
        </w:tc>
        <w:tc>
          <w:tcPr>
            <w:tcW w:w="640" w:type="dxa"/>
            <w:vAlign w:val="bottom"/>
            <w:gridSpan w:val="2"/>
            <w:vMerge w:val="restart"/>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180" w:type="dxa"/>
            <w:vAlign w:val="bottom"/>
            <w:shd w:val="clear" w:color="auto" w:fill="DBDBDB"/>
          </w:tcPr>
          <w:p>
            <w:pPr>
              <w:spacing w:after="0"/>
              <w:rPr>
                <w:sz w:val="10"/>
                <w:szCs w:val="10"/>
                <w:color w:val="auto"/>
              </w:rPr>
            </w:pPr>
          </w:p>
        </w:tc>
        <w:tc>
          <w:tcPr>
            <w:tcW w:w="640" w:type="dxa"/>
            <w:vAlign w:val="bottom"/>
            <w:gridSpan w:val="2"/>
            <w:vMerge w:val="restart"/>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shd w:val="clear" w:color="auto" w:fill="DBDBDB"/>
          </w:tcPr>
          <w:p>
            <w:pPr>
              <w:spacing w:after="0"/>
              <w:rPr>
                <w:sz w:val="10"/>
                <w:szCs w:val="10"/>
                <w:color w:val="auto"/>
              </w:rPr>
            </w:pPr>
          </w:p>
        </w:tc>
        <w:tc>
          <w:tcPr>
            <w:tcW w:w="660" w:type="dxa"/>
            <w:vAlign w:val="bottom"/>
            <w:gridSpan w:val="2"/>
            <w:vMerge w:val="restart"/>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shd w:val="clear" w:color="auto" w:fill="DBDBDB"/>
          </w:tcPr>
          <w:p>
            <w:pPr>
              <w:spacing w:after="0"/>
              <w:rPr>
                <w:sz w:val="10"/>
                <w:szCs w:val="10"/>
                <w:color w:val="auto"/>
              </w:rPr>
            </w:pPr>
          </w:p>
        </w:tc>
        <w:tc>
          <w:tcPr>
            <w:tcW w:w="620" w:type="dxa"/>
            <w:vAlign w:val="bottom"/>
            <w:gridSpan w:val="2"/>
            <w:vMerge w:val="restart"/>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shd w:val="clear" w:color="auto" w:fill="DBDBDB"/>
          </w:tcPr>
          <w:p>
            <w:pPr>
              <w:spacing w:after="0"/>
              <w:rPr>
                <w:sz w:val="10"/>
                <w:szCs w:val="10"/>
                <w:color w:val="auto"/>
              </w:rPr>
            </w:pPr>
          </w:p>
        </w:tc>
        <w:tc>
          <w:tcPr>
            <w:tcW w:w="640" w:type="dxa"/>
            <w:vAlign w:val="bottom"/>
            <w:gridSpan w:val="2"/>
            <w:vMerge w:val="restart"/>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shd w:val="clear" w:color="auto" w:fill="DBDBDB"/>
          </w:tcPr>
          <w:p>
            <w:pPr>
              <w:spacing w:after="0"/>
              <w:rPr>
                <w:sz w:val="10"/>
                <w:szCs w:val="10"/>
                <w:color w:val="auto"/>
              </w:rPr>
            </w:pPr>
          </w:p>
        </w:tc>
        <w:tc>
          <w:tcPr>
            <w:tcW w:w="640" w:type="dxa"/>
            <w:vAlign w:val="bottom"/>
            <w:vMerge w:val="restart"/>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DBDBDB"/>
          </w:tcPr>
          <w:p>
            <w:pPr>
              <w:spacing w:after="0"/>
              <w:rPr>
                <w:sz w:val="10"/>
                <w:szCs w:val="10"/>
                <w:color w:val="auto"/>
              </w:rPr>
            </w:pPr>
          </w:p>
        </w:tc>
        <w:tc>
          <w:tcPr>
            <w:tcW w:w="160" w:type="dxa"/>
            <w:vAlign w:val="bottom"/>
            <w:shd w:val="clear" w:color="auto" w:fill="DBDBDB"/>
          </w:tcPr>
          <w:p>
            <w:pPr>
              <w:spacing w:after="0"/>
              <w:rPr>
                <w:sz w:val="10"/>
                <w:szCs w:val="10"/>
                <w:color w:val="auto"/>
              </w:rPr>
            </w:pPr>
          </w:p>
        </w:tc>
        <w:tc>
          <w:tcPr>
            <w:tcW w:w="580" w:type="dxa"/>
            <w:vAlign w:val="bottom"/>
            <w:vMerge w:val="restart"/>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rounding)</w:t>
            </w:r>
          </w:p>
        </w:tc>
        <w:tc>
          <w:tcPr>
            <w:tcW w:w="16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gridSpan w:val="2"/>
            <w:vMerge w:val="continue"/>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gridSpan w:val="2"/>
            <w:vMerge w:val="continue"/>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gridSpan w:val="2"/>
            <w:vMerge w:val="continue"/>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Small Cells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Site rental revenues:</w:t>
            </w: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7"/>
        </w:trPr>
        <w:tc>
          <w:tcPr>
            <w:tcW w:w="32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322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6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9"/>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Services and 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56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6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4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6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64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8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3"/>
        </w:trPr>
        <w:tc>
          <w:tcPr>
            <w:tcW w:w="3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20"/>
        </w:trPr>
        <w:tc>
          <w:tcPr>
            <w:tcW w:w="322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2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6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8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20" w:type="dxa"/>
            <w:vAlign w:val="bottom"/>
            <w:shd w:val="clear" w:color="auto" w:fill="DBE5F1"/>
          </w:tcPr>
          <w:p>
            <w:pPr>
              <w:ind w:left="200"/>
              <w:spacing w:after="0" w:line="192"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438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89"/>
        </w:trPr>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87"/>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322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322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2"/>
        </w:trPr>
        <w:tc>
          <w:tcPr>
            <w:tcW w:w="3220" w:type="dxa"/>
            <w:vAlign w:val="bottom"/>
            <w:tcBorders>
              <w:top w:val="single" w:sz="8" w:color="DBE5F1"/>
            </w:tcBorders>
            <w:shd w:val="clear" w:color="auto" w:fill="DBE5F1"/>
          </w:tcPr>
          <w:p>
            <w:pPr>
              <w:ind w:left="30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60" w:type="dxa"/>
            <w:vAlign w:val="bottom"/>
            <w:tcBorders>
              <w:top w:val="single" w:sz="8" w:color="auto"/>
            </w:tcBorders>
            <w:shd w:val="clear" w:color="auto" w:fill="DBE5F1"/>
          </w:tcPr>
          <w:p>
            <w:pPr>
              <w:spacing w:after="0"/>
              <w:rPr>
                <w:sz w:val="10"/>
                <w:szCs w:val="10"/>
                <w:color w:val="auto"/>
              </w:rPr>
            </w:pPr>
          </w:p>
        </w:tc>
        <w:tc>
          <w:tcPr>
            <w:tcW w:w="56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DBE5F1"/>
            </w:tcBorders>
            <w:shd w:val="clear" w:color="auto" w:fill="DBE5F1"/>
          </w:tcPr>
          <w:p>
            <w:pPr>
              <w:spacing w:after="0"/>
              <w:rPr>
                <w:sz w:val="10"/>
                <w:szCs w:val="10"/>
                <w:color w:val="auto"/>
              </w:rPr>
            </w:pPr>
          </w:p>
        </w:tc>
        <w:tc>
          <w:tcPr>
            <w:tcW w:w="160" w:type="dxa"/>
            <w:vAlign w:val="bottom"/>
            <w:tcBorders>
              <w:top w:val="single" w:sz="8" w:color="auto"/>
            </w:tcBorders>
            <w:shd w:val="clear" w:color="auto" w:fill="DBE5F1"/>
          </w:tcPr>
          <w:p>
            <w:pPr>
              <w:spacing w:after="0"/>
              <w:rPr>
                <w:sz w:val="10"/>
                <w:szCs w:val="10"/>
                <w:color w:val="auto"/>
              </w:rPr>
            </w:pPr>
          </w:p>
        </w:tc>
        <w:tc>
          <w:tcPr>
            <w:tcW w:w="56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4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DBE5F1"/>
            </w:tcBorders>
            <w:shd w:val="clear" w:color="auto" w:fill="DBE5F1"/>
          </w:tcPr>
          <w:p>
            <w:pPr>
              <w:spacing w:after="0"/>
              <w:rPr>
                <w:sz w:val="10"/>
                <w:szCs w:val="10"/>
                <w:color w:val="auto"/>
              </w:rPr>
            </w:pPr>
          </w:p>
        </w:tc>
        <w:tc>
          <w:tcPr>
            <w:tcW w:w="180" w:type="dxa"/>
            <w:vAlign w:val="bottom"/>
            <w:tcBorders>
              <w:top w:val="single" w:sz="8" w:color="auto"/>
            </w:tcBorders>
            <w:shd w:val="clear" w:color="auto" w:fill="DBE5F1"/>
          </w:tcPr>
          <w:p>
            <w:pPr>
              <w:spacing w:after="0"/>
              <w:rPr>
                <w:sz w:val="10"/>
                <w:szCs w:val="10"/>
                <w:color w:val="auto"/>
              </w:rPr>
            </w:pPr>
          </w:p>
        </w:tc>
        <w:tc>
          <w:tcPr>
            <w:tcW w:w="560" w:type="dxa"/>
            <w:vAlign w:val="bottom"/>
            <w:tcBorders>
              <w:top w:val="single" w:sz="8" w:color="auto"/>
            </w:tcBorders>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DBE5F1"/>
            </w:tcBorders>
            <w:shd w:val="clear" w:color="auto" w:fill="DBE5F1"/>
          </w:tcPr>
          <w:p>
            <w:pPr>
              <w:spacing w:after="0"/>
              <w:rPr>
                <w:sz w:val="10"/>
                <w:szCs w:val="10"/>
                <w:color w:val="auto"/>
              </w:rPr>
            </w:pPr>
          </w:p>
        </w:tc>
        <w:tc>
          <w:tcPr>
            <w:tcW w:w="100" w:type="dxa"/>
            <w:vAlign w:val="bottom"/>
            <w:tcBorders>
              <w:top w:val="single" w:sz="8" w:color="auto"/>
            </w:tcBorders>
            <w:shd w:val="clear" w:color="auto" w:fill="DBE5F1"/>
          </w:tcPr>
          <w:p>
            <w:pPr>
              <w:spacing w:after="0"/>
              <w:rPr>
                <w:sz w:val="10"/>
                <w:szCs w:val="10"/>
                <w:color w:val="auto"/>
              </w:rPr>
            </w:pPr>
          </w:p>
        </w:tc>
        <w:tc>
          <w:tcPr>
            <w:tcW w:w="64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top w:val="single" w:sz="8" w:color="DBE5F1"/>
            </w:tcBorders>
            <w:shd w:val="clear" w:color="auto" w:fill="DBE5F1"/>
          </w:tcPr>
          <w:p>
            <w:pPr>
              <w:spacing w:after="0"/>
              <w:rPr>
                <w:sz w:val="10"/>
                <w:szCs w:val="10"/>
                <w:color w:val="auto"/>
              </w:rPr>
            </w:pPr>
          </w:p>
        </w:tc>
        <w:tc>
          <w:tcPr>
            <w:tcW w:w="160" w:type="dxa"/>
            <w:vAlign w:val="bottom"/>
            <w:tcBorders>
              <w:top w:val="single" w:sz="8" w:color="auto"/>
            </w:tcBorders>
            <w:shd w:val="clear" w:color="auto" w:fill="DBE5F1"/>
          </w:tcPr>
          <w:p>
            <w:pPr>
              <w:spacing w:after="0"/>
              <w:rPr>
                <w:sz w:val="10"/>
                <w:szCs w:val="10"/>
                <w:color w:val="auto"/>
              </w:rPr>
            </w:pPr>
          </w:p>
        </w:tc>
        <w:tc>
          <w:tcPr>
            <w:tcW w:w="580" w:type="dxa"/>
            <w:vAlign w:val="bottom"/>
            <w:tcBorders>
              <w:top w:val="single" w:sz="8" w:color="auto"/>
            </w:tcBorders>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440"/>
              <w:spacing w:after="0" w:line="189" w:lineRule="exact"/>
              <w:rPr>
                <w:sz w:val="20"/>
                <w:szCs w:val="20"/>
                <w:color w:val="auto"/>
              </w:rPr>
            </w:pPr>
            <w:r>
              <w:rPr>
                <w:rFonts w:ascii="Times New Roman" w:cs="Times New Roman" w:eastAsia="Times New Roman" w:hAnsi="Times New Roman"/>
                <w:sz w:val="14"/>
                <w:szCs w:val="14"/>
                <w:color w:val="auto"/>
              </w:rPr>
              <w:t>Adjusted for Impact of Sprint Cancellations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auto"/>
              </w:rPr>
              <w:t>Non-renewals associated with Sprint Cancellations</w:t>
            </w:r>
            <w:r>
              <w:rPr>
                <w:rFonts w:ascii="Times New Roman" w:cs="Times New Roman" w:eastAsia="Times New Roman" w:hAnsi="Times New Roman"/>
                <w:sz w:val="16"/>
                <w:szCs w:val="16"/>
                <w:color w:val="auto"/>
                <w:vertAlign w:val="superscript"/>
              </w:rPr>
              <w:t>(a)</w:t>
            </w:r>
          </w:p>
        </w:tc>
        <w:tc>
          <w:tcPr>
            <w:tcW w:w="16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95"/>
        </w:trPr>
        <w:tc>
          <w:tcPr>
            <w:tcW w:w="3220" w:type="dxa"/>
            <w:vAlign w:val="bottom"/>
          </w:tcPr>
          <w:p>
            <w:pPr>
              <w:ind w:left="300"/>
              <w:spacing w:after="0" w:line="95" w:lineRule="exact"/>
              <w:rPr>
                <w:sz w:val="20"/>
                <w:szCs w:val="20"/>
                <w:color w:val="auto"/>
              </w:rPr>
            </w:pPr>
            <w:r>
              <w:rPr>
                <w:rFonts w:ascii="Times New Roman" w:cs="Times New Roman" w:eastAsia="Times New Roman" w:hAnsi="Times New Roman"/>
                <w:sz w:val="9"/>
                <w:szCs w:val="9"/>
                <w:color w:val="auto"/>
              </w:rPr>
              <w:t>(b)</w:t>
            </w:r>
          </w:p>
        </w:tc>
        <w:tc>
          <w:tcPr>
            <w:tcW w:w="1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3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220" w:type="dxa"/>
            <w:vAlign w:val="bottom"/>
            <w:tcBorders>
              <w:top w:val="single" w:sz="8" w:color="DBE5F1"/>
            </w:tcBorders>
            <w:shd w:val="clear" w:color="auto" w:fill="DBE5F1"/>
          </w:tcPr>
          <w:p>
            <w:pPr>
              <w:ind w:left="300"/>
              <w:spacing w:after="0" w:line="184"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60" w:type="dxa"/>
            <w:vAlign w:val="bottom"/>
            <w:tcBorders>
              <w:top w:val="single" w:sz="8" w:color="auto"/>
            </w:tcBorders>
            <w:shd w:val="clear" w:color="auto" w:fill="DBE5F1"/>
          </w:tcPr>
          <w:p>
            <w:pPr>
              <w:spacing w:after="0"/>
              <w:rPr>
                <w:sz w:val="15"/>
                <w:szCs w:val="15"/>
                <w:color w:val="auto"/>
              </w:rPr>
            </w:pPr>
          </w:p>
        </w:tc>
        <w:tc>
          <w:tcPr>
            <w:tcW w:w="56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4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4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4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4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DBE5F1"/>
            </w:tcBorders>
            <w:shd w:val="clear" w:color="auto" w:fill="DBE5F1"/>
          </w:tcPr>
          <w:p>
            <w:pPr>
              <w:spacing w:after="0"/>
              <w:rPr>
                <w:sz w:val="15"/>
                <w:szCs w:val="15"/>
                <w:color w:val="auto"/>
              </w:rPr>
            </w:pPr>
          </w:p>
        </w:tc>
        <w:tc>
          <w:tcPr>
            <w:tcW w:w="160" w:type="dxa"/>
            <w:vAlign w:val="bottom"/>
            <w:tcBorders>
              <w:top w:val="single" w:sz="8" w:color="auto"/>
            </w:tcBorders>
            <w:shd w:val="clear" w:color="auto" w:fill="DBE5F1"/>
          </w:tcPr>
          <w:p>
            <w:pPr>
              <w:spacing w:after="0"/>
              <w:rPr>
                <w:sz w:val="15"/>
                <w:szCs w:val="15"/>
                <w:color w:val="auto"/>
              </w:rPr>
            </w:pPr>
          </w:p>
        </w:tc>
        <w:tc>
          <w:tcPr>
            <w:tcW w:w="56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4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6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DBE5F1"/>
            </w:tcBorders>
            <w:shd w:val="clear" w:color="auto" w:fill="DBE5F1"/>
          </w:tcPr>
          <w:p>
            <w:pPr>
              <w:spacing w:after="0"/>
              <w:rPr>
                <w:sz w:val="15"/>
                <w:szCs w:val="15"/>
                <w:color w:val="auto"/>
              </w:rPr>
            </w:pPr>
          </w:p>
        </w:tc>
        <w:tc>
          <w:tcPr>
            <w:tcW w:w="100" w:type="dxa"/>
            <w:vAlign w:val="bottom"/>
            <w:tcBorders>
              <w:top w:val="single" w:sz="8" w:color="auto"/>
            </w:tcBorders>
            <w:shd w:val="clear" w:color="auto" w:fill="DBE5F1"/>
          </w:tcPr>
          <w:p>
            <w:pPr>
              <w:spacing w:after="0"/>
              <w:rPr>
                <w:sz w:val="15"/>
                <w:szCs w:val="15"/>
                <w:color w:val="auto"/>
              </w:rPr>
            </w:pPr>
          </w:p>
        </w:tc>
        <w:tc>
          <w:tcPr>
            <w:tcW w:w="64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DBE5F1"/>
            </w:tcBorders>
            <w:shd w:val="clear" w:color="auto" w:fill="DBE5F1"/>
          </w:tcPr>
          <w:p>
            <w:pPr>
              <w:spacing w:after="0"/>
              <w:rPr>
                <w:sz w:val="15"/>
                <w:szCs w:val="15"/>
                <w:color w:val="auto"/>
              </w:rPr>
            </w:pPr>
          </w:p>
        </w:tc>
        <w:tc>
          <w:tcPr>
            <w:tcW w:w="160" w:type="dxa"/>
            <w:vAlign w:val="bottom"/>
            <w:tcBorders>
              <w:top w:val="single" w:sz="8" w:color="auto"/>
            </w:tcBorders>
            <w:shd w:val="clear" w:color="auto" w:fill="DBE5F1"/>
          </w:tcPr>
          <w:p>
            <w:pPr>
              <w:spacing w:after="0"/>
              <w:rPr>
                <w:sz w:val="15"/>
                <w:szCs w:val="15"/>
                <w:color w:val="auto"/>
              </w:rPr>
            </w:pPr>
          </w:p>
        </w:tc>
        <w:tc>
          <w:tcPr>
            <w:tcW w:w="58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7"/>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322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7"/>
        </w:trPr>
        <w:tc>
          <w:tcPr>
            <w:tcW w:w="3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2"/>
        </w:trPr>
        <w:tc>
          <w:tcPr>
            <w:tcW w:w="322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6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4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72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2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64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8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Site rental revenues as a percentage of prior year site</w:t>
            </w:r>
          </w:p>
        </w:tc>
        <w:tc>
          <w:tcPr>
            <w:tcW w:w="16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97.4 %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6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rental revenues</w:t>
            </w: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2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Adjusted for Impact of Sprint Cancellations as a</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89"/>
        </w:trPr>
        <w:tc>
          <w:tcPr>
            <w:tcW w:w="322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DBE5F1"/>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 a</w:t>
            </w:r>
          </w:p>
        </w:tc>
        <w:tc>
          <w:tcPr>
            <w:tcW w:w="16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10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6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r>
        <w:trPr>
          <w:trHeight w:val="189"/>
        </w:trPr>
        <w:tc>
          <w:tcPr>
            <w:tcW w:w="3220" w:type="dxa"/>
            <w:vAlign w:val="bottom"/>
            <w:shd w:val="clear" w:color="auto" w:fill="DBE5F1"/>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85" w:right="20" w:hanging="285"/>
        <w:spacing w:after="0" w:line="247" w:lineRule="auto"/>
        <w:tabs>
          <w:tab w:leader="none" w:pos="283"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and Organic Contribution to Site Rental Billings as Adjusted for Impact of Sprint Cancellations.</w:t>
      </w:r>
    </w:p>
    <w:p>
      <w:pPr>
        <w:ind w:left="285" w:right="20" w:hanging="285"/>
        <w:spacing w:after="0" w:line="246" w:lineRule="auto"/>
        <w:tabs>
          <w:tab w:leader="none" w:pos="279"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$5 million of non-renewals associated with Sprint Cancellations that related to small cells, and in full year 2023, there were $14 million of non-renewals associated with Sprint Cancellations that related to small cells.</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until the one-year anniversary of such acquisitions.</w:t>
      </w:r>
    </w:p>
    <w:p>
      <w:pPr>
        <w:spacing w:after="0" w:line="200" w:lineRule="exact"/>
        <w:rPr>
          <w:sz w:val="20"/>
          <w:szCs w:val="20"/>
          <w:color w:val="auto"/>
        </w:rPr>
      </w:pPr>
    </w:p>
    <w:p>
      <w:pPr>
        <w:spacing w:after="0" w:line="38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65"/>
          </w:cols>
          <w:pgMar w:left="315" w:top="120" w:right="319" w:bottom="1440" w:gutter="0" w:footer="0" w:header="0"/>
        </w:sectPr>
      </w:pPr>
    </w:p>
    <w:bookmarkStart w:id="57" w:name="page58"/>
    <w:bookmarkEnd w:id="57"/>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FIBER SEGMENT REVENUE DETAIL BY LINE OF BUSINESS CONTINUED</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39"/>
        </w:trPr>
        <w:tc>
          <w:tcPr>
            <w:tcW w:w="346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780" w:type="dxa"/>
            <w:vAlign w:val="bottom"/>
            <w:tcBorders>
              <w:top w:val="single" w:sz="8" w:color="auto"/>
            </w:tcBorders>
            <w:gridSpan w:val="3"/>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80" w:type="dxa"/>
            <w:vAlign w:val="bottom"/>
            <w:tcBorders>
              <w:top w:val="single" w:sz="8" w:color="auto"/>
            </w:tcBorders>
            <w:shd w:val="clear" w:color="auto" w:fill="DBDBDB"/>
          </w:tcPr>
          <w:p>
            <w:pPr>
              <w:spacing w:after="0"/>
              <w:rPr>
                <w:sz w:val="12"/>
                <w:szCs w:val="12"/>
                <w:color w:val="auto"/>
              </w:rPr>
            </w:pPr>
          </w:p>
        </w:tc>
        <w:tc>
          <w:tcPr>
            <w:tcW w:w="52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780" w:type="dxa"/>
            <w:vAlign w:val="bottom"/>
            <w:tcBorders>
              <w:top w:val="single" w:sz="8" w:color="auto"/>
            </w:tcBorders>
            <w:gridSpan w:val="3"/>
            <w:vMerge w:val="restart"/>
            <w:shd w:val="clear" w:color="auto" w:fill="DBDBDB"/>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52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520" w:type="dxa"/>
            <w:vAlign w:val="bottom"/>
            <w:tcBorders>
              <w:top w:val="single" w:sz="8" w:color="auto"/>
            </w:tcBorders>
            <w:gridSpan w:val="4"/>
            <w:shd w:val="clear" w:color="auto" w:fill="DBDBDB"/>
          </w:tcPr>
          <w:p>
            <w:pPr>
              <w:jc w:val="right"/>
              <w:ind w:right="69"/>
              <w:spacing w:after="0" w:line="13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4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gridSpan w:val="3"/>
            <w:vMerge w:val="continue"/>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gridSpan w:val="3"/>
            <w:vMerge w:val="continue"/>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gridSpan w:val="4"/>
            <w:shd w:val="clear" w:color="auto" w:fill="DBDBDB"/>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4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 totals may not sum due to rounding)</w:t>
            </w: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Q1</w:t>
            </w:r>
          </w:p>
        </w:tc>
        <w:tc>
          <w:tcPr>
            <w:tcW w:w="18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tcBorders>
              <w:bottom w:val="single" w:sz="8" w:color="auto"/>
            </w:tcBorders>
            <w:shd w:val="clear" w:color="auto" w:fill="DBDBDB"/>
          </w:tcPr>
          <w:p>
            <w:pPr>
              <w:spacing w:after="0"/>
              <w:rPr>
                <w:sz w:val="15"/>
                <w:szCs w:val="15"/>
                <w:color w:val="auto"/>
              </w:rPr>
            </w:pPr>
          </w:p>
        </w:tc>
        <w:tc>
          <w:tcPr>
            <w:tcW w:w="60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shd w:val="clear" w:color="auto" w:fill="DBDBDB"/>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4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Site rental revenues:</w:t>
            </w: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220"/>
              <w:spacing w:after="0" w:line="189" w:lineRule="exact"/>
              <w:rPr>
                <w:sz w:val="20"/>
                <w:szCs w:val="20"/>
                <w:color w:val="auto"/>
              </w:rPr>
            </w:pPr>
            <w:r>
              <w:rPr>
                <w:rFonts w:ascii="Times New Roman" w:cs="Times New Roman" w:eastAsia="Times New Roman" w:hAnsi="Times New Roman"/>
                <w:sz w:val="14"/>
                <w:szCs w:val="14"/>
                <w:color w:val="auto"/>
              </w:rPr>
              <w:t>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7"/>
        </w:trPr>
        <w:tc>
          <w:tcPr>
            <w:tcW w:w="3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346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5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52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DBE5F1"/>
          </w:tcPr>
          <w:p>
            <w:pPr>
              <w:spacing w:after="0"/>
              <w:rPr>
                <w:sz w:val="16"/>
                <w:szCs w:val="16"/>
                <w:color w:val="auto"/>
              </w:rPr>
            </w:pPr>
          </w:p>
        </w:tc>
        <w:tc>
          <w:tcPr>
            <w:tcW w:w="100" w:type="dxa"/>
            <w:vAlign w:val="bottom"/>
            <w:tcBorders>
              <w:bottom w:val="single" w:sz="8" w:color="auto"/>
            </w:tcBorders>
            <w:shd w:val="clear" w:color="auto" w:fill="DBE5F1"/>
          </w:tcPr>
          <w:p>
            <w:pPr>
              <w:spacing w:after="0"/>
              <w:rPr>
                <w:sz w:val="16"/>
                <w:szCs w:val="16"/>
                <w:color w:val="auto"/>
              </w:rPr>
            </w:pPr>
          </w:p>
        </w:tc>
        <w:tc>
          <w:tcPr>
            <w:tcW w:w="66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620" w:type="dxa"/>
            <w:vAlign w:val="bottom"/>
            <w:tcBorders>
              <w:bottom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7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6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Services and other revenues</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revenues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1,425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6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6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62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Components of changes in site rental revenues: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DBE5F1"/>
          </w:tcPr>
          <w:p>
            <w:pPr>
              <w:ind w:left="300"/>
              <w:spacing w:after="0" w:line="192"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160"/>
              <w:spacing w:after="0" w:line="189" w:lineRule="exact"/>
              <w:rPr>
                <w:sz w:val="20"/>
                <w:szCs w:val="20"/>
                <w:color w:val="auto"/>
              </w:rPr>
            </w:pPr>
            <w:r>
              <w:rPr>
                <w:rFonts w:ascii="Times New Roman" w:cs="Times New Roman" w:eastAsia="Times New Roman" w:hAnsi="Times New Roman"/>
                <w:sz w:val="14"/>
                <w:szCs w:val="14"/>
                <w:color w:val="auto"/>
              </w:rPr>
              <w:t>Core leasing activity</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7"/>
        </w:trPr>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Escalators</w:t>
            </w:r>
          </w:p>
        </w:tc>
        <w:tc>
          <w:tcPr>
            <w:tcW w:w="16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4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Non-renewals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DBE5F1"/>
            </w:tcBorders>
          </w:tcPr>
          <w:p>
            <w:pPr>
              <w:ind w:left="160"/>
              <w:spacing w:after="0" w:line="189" w:lineRule="exact"/>
              <w:rPr>
                <w:sz w:val="20"/>
                <w:szCs w:val="20"/>
                <w:color w:val="auto"/>
              </w:rPr>
            </w:pPr>
            <w:r>
              <w:rPr>
                <w:rFonts w:ascii="Times New Roman" w:cs="Times New Roman" w:eastAsia="Times New Roman" w:hAnsi="Times New Roman"/>
                <w:sz w:val="14"/>
                <w:szCs w:val="14"/>
                <w:color w:val="auto"/>
              </w:rPr>
              <w:t>Other billings</w:t>
            </w:r>
            <w:r>
              <w:rPr>
                <w:rFonts w:ascii="Times New Roman" w:cs="Times New Roman" w:eastAsia="Times New Roman" w:hAnsi="Times New Roman"/>
                <w:sz w:val="18"/>
                <w:szCs w:val="18"/>
                <w:color w:val="auto"/>
                <w:vertAlign w:val="superscript"/>
              </w:rPr>
              <w:t>(a)</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2"/>
        </w:trPr>
        <w:tc>
          <w:tcPr>
            <w:tcW w:w="3460" w:type="dxa"/>
            <w:vAlign w:val="bottom"/>
            <w:shd w:val="clear" w:color="auto" w:fill="DBE5F1"/>
          </w:tcPr>
          <w:p>
            <w:pPr>
              <w:ind w:left="300"/>
              <w:spacing w:after="0" w:line="122" w:lineRule="exact"/>
              <w:rPr>
                <w:sz w:val="20"/>
                <w:szCs w:val="20"/>
                <w:color w:val="auto"/>
              </w:rPr>
            </w:pPr>
            <w:r>
              <w:rPr>
                <w:rFonts w:ascii="Times New Roman" w:cs="Times New Roman" w:eastAsia="Times New Roman" w:hAnsi="Times New Roman"/>
                <w:sz w:val="14"/>
                <w:szCs w:val="14"/>
                <w:color w:val="auto"/>
              </w:rPr>
              <w:t>Organic Contribution to Site Rental Billings as</w:t>
            </w:r>
          </w:p>
        </w:tc>
        <w:tc>
          <w:tcPr>
            <w:tcW w:w="160" w:type="dxa"/>
            <w:vAlign w:val="bottom"/>
            <w:shd w:val="clear" w:color="auto" w:fill="DBE5F1"/>
          </w:tcPr>
          <w:p>
            <w:pPr>
              <w:spacing w:after="0"/>
              <w:rPr>
                <w:sz w:val="10"/>
                <w:szCs w:val="10"/>
                <w:color w:val="auto"/>
              </w:rPr>
            </w:pPr>
          </w:p>
        </w:tc>
        <w:tc>
          <w:tcPr>
            <w:tcW w:w="600" w:type="dxa"/>
            <w:vAlign w:val="bottom"/>
            <w:gridSpan w:val="2"/>
            <w:vMerge w:val="restart"/>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0"/>
                <w:szCs w:val="10"/>
                <w:color w:val="auto"/>
              </w:rPr>
            </w:pPr>
          </w:p>
        </w:tc>
        <w:tc>
          <w:tcPr>
            <w:tcW w:w="52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5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52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52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52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50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52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0"/>
                <w:szCs w:val="10"/>
                <w:color w:val="auto"/>
              </w:rPr>
            </w:pPr>
          </w:p>
        </w:tc>
        <w:tc>
          <w:tcPr>
            <w:tcW w:w="100" w:type="dxa"/>
            <w:vAlign w:val="bottom"/>
            <w:shd w:val="clear" w:color="auto" w:fill="DBE5F1"/>
          </w:tcPr>
          <w:p>
            <w:pPr>
              <w:spacing w:after="0"/>
              <w:rPr>
                <w:sz w:val="10"/>
                <w:szCs w:val="10"/>
                <w:color w:val="auto"/>
              </w:rPr>
            </w:pPr>
          </w:p>
        </w:tc>
        <w:tc>
          <w:tcPr>
            <w:tcW w:w="660" w:type="dxa"/>
            <w:vAlign w:val="bottom"/>
            <w:vMerge w:val="restart"/>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0"/>
                <w:szCs w:val="10"/>
                <w:color w:val="auto"/>
              </w:rPr>
            </w:pPr>
          </w:p>
        </w:tc>
        <w:tc>
          <w:tcPr>
            <w:tcW w:w="160" w:type="dxa"/>
            <w:vAlign w:val="bottom"/>
            <w:shd w:val="clear" w:color="auto" w:fill="DBE5F1"/>
          </w:tcPr>
          <w:p>
            <w:pPr>
              <w:spacing w:after="0"/>
              <w:rPr>
                <w:sz w:val="10"/>
                <w:szCs w:val="10"/>
                <w:color w:val="auto"/>
              </w:rPr>
            </w:pPr>
          </w:p>
        </w:tc>
        <w:tc>
          <w:tcPr>
            <w:tcW w:w="620" w:type="dxa"/>
            <w:vAlign w:val="bottom"/>
            <w:vMerge w:val="restart"/>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440"/>
              <w:spacing w:after="0" w:line="189" w:lineRule="exact"/>
              <w:rPr>
                <w:sz w:val="20"/>
                <w:szCs w:val="20"/>
                <w:color w:val="auto"/>
              </w:rPr>
            </w:pPr>
            <w:r>
              <w:rPr>
                <w:rFonts w:ascii="Times New Roman" w:cs="Times New Roman" w:eastAsia="Times New Roman" w:hAnsi="Times New Roman"/>
                <w:sz w:val="14"/>
                <w:szCs w:val="14"/>
                <w:color w:val="auto"/>
              </w:rPr>
              <w:t>Adjusted for Impact of Sprint Cancellations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600" w:type="dxa"/>
            <w:vAlign w:val="bottom"/>
            <w:gridSpan w:val="2"/>
            <w:vMerge w:val="continue"/>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ind w:left="160"/>
              <w:spacing w:after="0" w:line="189" w:lineRule="exact"/>
              <w:rPr>
                <w:sz w:val="20"/>
                <w:szCs w:val="20"/>
                <w:color w:val="auto"/>
              </w:rPr>
            </w:pPr>
            <w:r>
              <w:rPr>
                <w:rFonts w:ascii="Times New Roman" w:cs="Times New Roman" w:eastAsia="Times New Roman" w:hAnsi="Times New Roman"/>
                <w:sz w:val="14"/>
                <w:szCs w:val="14"/>
                <w:color w:val="auto"/>
              </w:rPr>
              <w:t>Non-renewals associated with Sprint Cancellations</w:t>
            </w:r>
            <w:r>
              <w:rPr>
                <w:rFonts w:ascii="Times New Roman" w:cs="Times New Roman" w:eastAsia="Times New Roman" w:hAnsi="Times New Roman"/>
                <w:sz w:val="18"/>
                <w:szCs w:val="18"/>
                <w:color w:val="auto"/>
                <w:vertAlign w:val="superscript"/>
              </w:rPr>
              <w:t>(a)(b)</w:t>
            </w: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3460" w:type="dxa"/>
            <w:vAlign w:val="bottom"/>
            <w:tcBorders>
              <w:top w:val="single" w:sz="8" w:color="DBE5F1"/>
            </w:tcBorders>
            <w:shd w:val="clear" w:color="auto" w:fill="DBE5F1"/>
          </w:tcPr>
          <w:p>
            <w:pPr>
              <w:ind w:left="300"/>
              <w:spacing w:after="0" w:line="181" w:lineRule="exact"/>
              <w:rPr>
                <w:sz w:val="20"/>
                <w:szCs w:val="20"/>
                <w:color w:val="auto"/>
              </w:rPr>
            </w:pPr>
            <w:r>
              <w:rPr>
                <w:rFonts w:ascii="Times New Roman" w:cs="Times New Roman" w:eastAsia="Times New Roman" w:hAnsi="Times New Roman"/>
                <w:sz w:val="14"/>
                <w:szCs w:val="14"/>
                <w:color w:val="auto"/>
              </w:rPr>
              <w:t>Organic Contribution to Site Rental Billings</w:t>
            </w:r>
            <w:r>
              <w:rPr>
                <w:rFonts w:ascii="Times New Roman" w:cs="Times New Roman" w:eastAsia="Times New Roman" w:hAnsi="Times New Roman"/>
                <w:sz w:val="18"/>
                <w:szCs w:val="18"/>
                <w:color w:val="auto"/>
                <w:vertAlign w:val="superscript"/>
              </w:rPr>
              <w:t>(a)</w:t>
            </w:r>
          </w:p>
        </w:tc>
        <w:tc>
          <w:tcPr>
            <w:tcW w:w="16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0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DBE5F1"/>
            </w:tcBorders>
            <w:shd w:val="clear" w:color="auto" w:fill="DBE5F1"/>
          </w:tcPr>
          <w:p>
            <w:pPr>
              <w:spacing w:after="0"/>
              <w:rPr>
                <w:sz w:val="15"/>
                <w:szCs w:val="15"/>
                <w:color w:val="auto"/>
              </w:rPr>
            </w:pPr>
          </w:p>
        </w:tc>
        <w:tc>
          <w:tcPr>
            <w:tcW w:w="16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spacing w:after="0"/>
              <w:rPr>
                <w:sz w:val="15"/>
                <w:szCs w:val="15"/>
                <w:color w:val="auto"/>
              </w:rPr>
            </w:pPr>
          </w:p>
        </w:tc>
        <w:tc>
          <w:tcPr>
            <w:tcW w:w="50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DBE5F1"/>
            </w:tcBorders>
            <w:shd w:val="clear" w:color="auto" w:fill="DBE5F1"/>
          </w:tcPr>
          <w:p>
            <w:pPr>
              <w:spacing w:after="0"/>
              <w:rPr>
                <w:sz w:val="15"/>
                <w:szCs w:val="15"/>
                <w:color w:val="auto"/>
              </w:rPr>
            </w:pPr>
          </w:p>
        </w:tc>
        <w:tc>
          <w:tcPr>
            <w:tcW w:w="160" w:type="dxa"/>
            <w:vAlign w:val="bottom"/>
            <w:tcBorders>
              <w:top w:val="single" w:sz="8" w:color="auto"/>
            </w:tcBorders>
            <w:shd w:val="clear" w:color="auto" w:fill="DBE5F1"/>
          </w:tcPr>
          <w:p>
            <w:pPr>
              <w:spacing w:after="0"/>
              <w:rPr>
                <w:sz w:val="15"/>
                <w:szCs w:val="15"/>
                <w:color w:val="auto"/>
              </w:rPr>
            </w:pPr>
          </w:p>
        </w:tc>
        <w:tc>
          <w:tcPr>
            <w:tcW w:w="52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DBE5F1"/>
            </w:tcBorders>
            <w:shd w:val="clear" w:color="auto" w:fill="DBE5F1"/>
          </w:tcPr>
          <w:p>
            <w:pPr>
              <w:spacing w:after="0"/>
              <w:rPr>
                <w:sz w:val="15"/>
                <w:szCs w:val="15"/>
                <w:color w:val="auto"/>
              </w:rPr>
            </w:pPr>
          </w:p>
        </w:tc>
        <w:tc>
          <w:tcPr>
            <w:tcW w:w="100" w:type="dxa"/>
            <w:vAlign w:val="bottom"/>
            <w:tcBorders>
              <w:top w:val="single" w:sz="8" w:color="auto"/>
            </w:tcBorders>
            <w:shd w:val="clear" w:color="auto" w:fill="DBE5F1"/>
          </w:tcPr>
          <w:p>
            <w:pPr>
              <w:spacing w:after="0"/>
              <w:rPr>
                <w:sz w:val="15"/>
                <w:szCs w:val="15"/>
                <w:color w:val="auto"/>
              </w:rPr>
            </w:pPr>
          </w:p>
        </w:tc>
        <w:tc>
          <w:tcPr>
            <w:tcW w:w="660" w:type="dxa"/>
            <w:vAlign w:val="bottom"/>
            <w:tcBorders>
              <w:top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DBE5F1"/>
            </w:tcBorders>
            <w:shd w:val="clear" w:color="auto" w:fill="DBE5F1"/>
          </w:tcPr>
          <w:p>
            <w:pPr>
              <w:spacing w:after="0"/>
              <w:rPr>
                <w:sz w:val="15"/>
                <w:szCs w:val="15"/>
                <w:color w:val="auto"/>
              </w:rPr>
            </w:pPr>
          </w:p>
        </w:tc>
        <w:tc>
          <w:tcPr>
            <w:tcW w:w="160" w:type="dxa"/>
            <w:vAlign w:val="bottom"/>
            <w:tcBorders>
              <w:top w:val="single" w:sz="8" w:color="auto"/>
            </w:tcBorders>
            <w:shd w:val="clear" w:color="auto" w:fill="DBE5F1"/>
          </w:tcPr>
          <w:p>
            <w:pPr>
              <w:spacing w:after="0"/>
              <w:rPr>
                <w:sz w:val="15"/>
                <w:szCs w:val="15"/>
                <w:color w:val="auto"/>
              </w:rPr>
            </w:pPr>
          </w:p>
        </w:tc>
        <w:tc>
          <w:tcPr>
            <w:tcW w:w="62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7"/>
        </w:trPr>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2"/>
        </w:trPr>
        <w:tc>
          <w:tcPr>
            <w:tcW w:w="34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Amortization of prepaid rent</w:t>
            </w: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7"/>
        </w:trPr>
        <w:tc>
          <w:tcPr>
            <w:tcW w:w="34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2"/>
        </w:trPr>
        <w:tc>
          <w:tcPr>
            <w:tcW w:w="34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Acquisitions</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00" w:type="dxa"/>
            <w:vAlign w:val="bottom"/>
            <w:gridSpan w:val="2"/>
            <w:shd w:val="clear" w:color="auto" w:fill="DBE5F1"/>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2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74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620" w:type="dxa"/>
            <w:vAlign w:val="bottom"/>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site rental revenues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1,424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6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5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52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66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62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changes in revenues: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46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Site rental revenues as a percentage of prior year site</w:t>
            </w: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6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6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rental revenues</w:t>
            </w: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 Adjusted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for Impact of Sprint Cancellations as a percentage of</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89"/>
        </w:trPr>
        <w:tc>
          <w:tcPr>
            <w:tcW w:w="3460" w:type="dxa"/>
            <w:vAlign w:val="bottom"/>
          </w:tcPr>
          <w:p>
            <w:pPr>
              <w:ind w:left="300"/>
              <w:spacing w:after="0" w:line="189" w:lineRule="exact"/>
              <w:rPr>
                <w:sz w:val="20"/>
                <w:szCs w:val="20"/>
                <w:color w:val="auto"/>
              </w:rPr>
            </w:pPr>
            <w:r>
              <w:rPr>
                <w:rFonts w:ascii="Times New Roman" w:cs="Times New Roman" w:eastAsia="Times New Roman" w:hAnsi="Times New Roman"/>
                <w:sz w:val="14"/>
                <w:szCs w:val="14"/>
                <w:color w:val="auto"/>
              </w:rPr>
              <w:t>prior year site rental billings</w:t>
            </w:r>
            <w:r>
              <w:rPr>
                <w:rFonts w:ascii="Times New Roman" w:cs="Times New Roman" w:eastAsia="Times New Roman" w:hAnsi="Times New Roman"/>
                <w:sz w:val="18"/>
                <w:szCs w:val="18"/>
                <w:color w:val="auto"/>
                <w:vertAlign w:val="superscript"/>
              </w:rPr>
              <w:t>(a)</w:t>
            </w: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60" w:type="dxa"/>
            <w:vAlign w:val="bottom"/>
            <w:shd w:val="clear" w:color="auto" w:fill="DBE5F1"/>
          </w:tcPr>
          <w:p>
            <w:pPr>
              <w:ind w:left="160"/>
              <w:spacing w:after="0" w:line="142" w:lineRule="exact"/>
              <w:rPr>
                <w:sz w:val="20"/>
                <w:szCs w:val="20"/>
                <w:color w:val="auto"/>
              </w:rPr>
            </w:pPr>
            <w:r>
              <w:rPr>
                <w:rFonts w:ascii="Times New Roman" w:cs="Times New Roman" w:eastAsia="Times New Roman" w:hAnsi="Times New Roman"/>
                <w:sz w:val="14"/>
                <w:szCs w:val="14"/>
                <w:color w:val="auto"/>
              </w:rPr>
              <w:t>Organic Contribution to Site Rental Billings as a</w:t>
            </w: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5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6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6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189"/>
        </w:trPr>
        <w:tc>
          <w:tcPr>
            <w:tcW w:w="3460" w:type="dxa"/>
            <w:vAlign w:val="bottom"/>
            <w:shd w:val="clear" w:color="auto" w:fill="DBE5F1"/>
          </w:tcPr>
          <w:p>
            <w:pPr>
              <w:ind w:left="300"/>
              <w:spacing w:after="0" w:line="189" w:lineRule="exact"/>
              <w:rPr>
                <w:sz w:val="20"/>
                <w:szCs w:val="20"/>
                <w:color w:val="auto"/>
              </w:rPr>
            </w:pPr>
            <w:r>
              <w:rPr>
                <w:rFonts w:ascii="Times New Roman" w:cs="Times New Roman" w:eastAsia="Times New Roman" w:hAnsi="Times New Roman"/>
                <w:sz w:val="14"/>
                <w:szCs w:val="14"/>
                <w:color w:val="auto"/>
              </w:rPr>
              <w:t>percentage of prior year site rental billings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0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2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6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62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85" w:right="20" w:hanging="285"/>
        <w:spacing w:after="0" w:line="247" w:lineRule="auto"/>
        <w:tabs>
          <w:tab w:leader="none" w:pos="283"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our definitions of site rental billings, core leasing activity, non-renewals, other billings, Sprint Cancellations, Organic Contribution to Site Rental Billings and Organic Contribution to Site Rental Billings as Adjusted for Impact of Sprint Cancellations.</w:t>
      </w:r>
    </w:p>
    <w:p>
      <w:pPr>
        <w:ind w:left="285" w:hanging="285"/>
        <w:spacing w:after="0" w:line="246" w:lineRule="auto"/>
        <w:tabs>
          <w:tab w:leader="none" w:pos="279"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fourth quarter 2023, there were $2 million of non-renewals associated with Sprint Cancellations that related to fiber solutions, and in full year 2023, there were $7 million of non-renewals associated with Sprint Cancellations that related to fiber solutions.</w:t>
      </w:r>
    </w:p>
    <w:p>
      <w:pPr>
        <w:spacing w:after="0" w:line="1" w:lineRule="exact"/>
        <w:rPr>
          <w:rFonts w:ascii="Times New Roman" w:cs="Times New Roman" w:eastAsia="Times New Roman" w:hAnsi="Times New Roman"/>
          <w:sz w:val="13"/>
          <w:szCs w:val="13"/>
          <w:color w:val="auto"/>
        </w:rPr>
      </w:pPr>
    </w:p>
    <w:p>
      <w:pPr>
        <w:ind w:left="285" w:right="20" w:hanging="285"/>
        <w:spacing w:after="0" w:line="253" w:lineRule="auto"/>
        <w:tabs>
          <w:tab w:leader="none" w:pos="283"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contribution from recent acquisitions. The financial impact of recent acquisitions is excluded from Organic Contribution to Site Rental Billings, including as Adjusted for Impact of Sprint Cancellations, until the one-year anniversary of such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65"/>
          </w:cols>
          <w:pgMar w:left="315" w:top="120" w:right="319" w:bottom="1440" w:gutter="0" w:footer="0" w:header="0"/>
        </w:sectPr>
      </w:pPr>
    </w:p>
    <w:bookmarkStart w:id="58" w:name="page59"/>
    <w:bookmarkEnd w:id="58"/>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380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jc w:val="right"/>
              <w:ind w:right="3169"/>
              <w:spacing w:after="0"/>
              <w:rPr>
                <w:sz w:val="20"/>
                <w:szCs w:val="20"/>
                <w:color w:val="auto"/>
              </w:rPr>
            </w:pPr>
            <w:r>
              <w:rPr>
                <w:rFonts w:ascii="Times New Roman" w:cs="Times New Roman" w:eastAsia="Times New Roman" w:hAnsi="Times New Roman"/>
                <w:sz w:val="14"/>
                <w:szCs w:val="14"/>
                <w:b w:val="1"/>
                <w:bCs w:val="1"/>
                <w:color w:val="auto"/>
              </w:rPr>
              <w:t>FIBER SEGMENT PORTFOLIO HIGHLIGHTS</w:t>
            </w:r>
          </w:p>
        </w:tc>
        <w:tc>
          <w:tcPr>
            <w:tcW w:w="880" w:type="dxa"/>
            <w:vAlign w:val="bottom"/>
            <w:tcBorders>
              <w:bottom w:val="single" w:sz="8" w:color="auto"/>
            </w:tcBorders>
          </w:tcPr>
          <w:p>
            <w:pPr>
              <w:spacing w:after="0"/>
              <w:rPr>
                <w:sz w:val="16"/>
                <w:szCs w:val="16"/>
                <w:color w:val="auto"/>
              </w:rPr>
            </w:pPr>
          </w:p>
        </w:tc>
      </w:tr>
      <w:tr>
        <w:trPr>
          <w:trHeight w:val="182"/>
        </w:trPr>
        <w:tc>
          <w:tcPr>
            <w:tcW w:w="3800" w:type="dxa"/>
            <w:vAlign w:val="bottom"/>
            <w:tcBorders>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6580" w:type="dxa"/>
            <w:vAlign w:val="bottom"/>
            <w:tcBorders>
              <w:bottom w:val="single" w:sz="8" w:color="auto"/>
            </w:tcBorders>
            <w:shd w:val="clear" w:color="auto" w:fill="D9D9D9"/>
          </w:tcPr>
          <w:p>
            <w:pPr>
              <w:spacing w:after="0"/>
              <w:rPr>
                <w:sz w:val="15"/>
                <w:szCs w:val="15"/>
                <w:color w:val="auto"/>
              </w:rPr>
            </w:pPr>
          </w:p>
        </w:tc>
        <w:tc>
          <w:tcPr>
            <w:tcW w:w="880" w:type="dxa"/>
            <w:vAlign w:val="bottom"/>
            <w:tcBorders>
              <w:bottom w:val="single" w:sz="8" w:color="auto"/>
            </w:tcBorders>
            <w:shd w:val="clear" w:color="auto" w:fill="D9D9D9"/>
          </w:tcPr>
          <w:p>
            <w:pPr>
              <w:spacing w:after="0"/>
              <w:rPr>
                <w:sz w:val="15"/>
                <w:szCs w:val="15"/>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route miles of fiber (in thousands)</w:t>
            </w:r>
          </w:p>
        </w:tc>
        <w:tc>
          <w:tcPr>
            <w:tcW w:w="65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15"/>
        </w:trPr>
        <w:tc>
          <w:tcPr>
            <w:tcW w:w="38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Number of small cells on air or under contract (in thousands)</w:t>
            </w:r>
          </w:p>
        </w:tc>
        <w:tc>
          <w:tcPr>
            <w:tcW w:w="6580" w:type="dxa"/>
            <w:vAlign w:val="bottom"/>
            <w:shd w:val="clear" w:color="auto" w:fill="DBE5F1"/>
          </w:tcPr>
          <w:p>
            <w:pPr>
              <w:spacing w:after="0"/>
              <w:rPr>
                <w:sz w:val="18"/>
                <w:szCs w:val="18"/>
                <w:color w:val="auto"/>
              </w:rPr>
            </w:pPr>
          </w:p>
        </w:tc>
        <w:tc>
          <w:tcPr>
            <w:tcW w:w="8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Remaining contracted tenant receivables (in billions)</w:t>
            </w:r>
            <w:r>
              <w:rPr>
                <w:rFonts w:ascii="Times New Roman" w:cs="Times New Roman" w:eastAsia="Times New Roman" w:hAnsi="Times New Roman"/>
                <w:sz w:val="18"/>
                <w:szCs w:val="18"/>
                <w:color w:val="auto"/>
                <w:vertAlign w:val="superscript"/>
              </w:rPr>
              <w:t>(a)</w:t>
            </w:r>
          </w:p>
        </w:tc>
        <w:tc>
          <w:tcPr>
            <w:tcW w:w="65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380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Weighted average remaining tenant contract term (years)</w:t>
            </w:r>
            <w:r>
              <w:rPr>
                <w:rFonts w:ascii="Times New Roman" w:cs="Times New Roman" w:eastAsia="Times New Roman" w:hAnsi="Times New Roman"/>
                <w:sz w:val="18"/>
                <w:szCs w:val="18"/>
                <w:color w:val="auto"/>
                <w:vertAlign w:val="superscript"/>
              </w:rPr>
              <w:t>(a)(b)</w:t>
            </w:r>
          </w:p>
        </w:tc>
        <w:tc>
          <w:tcPr>
            <w:tcW w:w="6580" w:type="dxa"/>
            <w:vAlign w:val="bottom"/>
            <w:shd w:val="clear" w:color="auto" w:fill="DBE5F1"/>
          </w:tcPr>
          <w:p>
            <w:pPr>
              <w:spacing w:after="0"/>
              <w:rPr>
                <w:sz w:val="18"/>
                <w:szCs w:val="18"/>
                <w:color w:val="auto"/>
              </w:rPr>
            </w:pPr>
          </w:p>
        </w:tc>
        <w:tc>
          <w:tcPr>
            <w:tcW w:w="8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23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FIBER SEGMENT CASH YIELD ON INVESTED CAPITAL</w:t>
      </w:r>
      <w:r>
        <w:rPr>
          <w:rFonts w:ascii="Times New Roman" w:cs="Times New Roman" w:eastAsia="Times New Roman" w:hAnsi="Times New Roman"/>
          <w:sz w:val="18"/>
          <w:szCs w:val="18"/>
          <w:b w:val="1"/>
          <w:bCs w:val="1"/>
          <w:color w:val="auto"/>
          <w:vertAlign w:val="superscript"/>
        </w:rPr>
        <w:t>(c)</w:t>
      </w:r>
    </w:p>
    <w:tbl>
      <w:tblPr>
        <w:tblLayout w:type="fixed"/>
        <w:tblInd w:w="5" w:type="dxa"/>
        <w:tblCellMar>
          <w:top w:w="0" w:type="dxa"/>
          <w:left w:w="0" w:type="dxa"/>
          <w:bottom w:w="0" w:type="dxa"/>
          <w:right w:w="0" w:type="dxa"/>
        </w:tblCellMar>
      </w:tblPr>
      <w:tr>
        <w:trPr>
          <w:trHeight w:val="181"/>
        </w:trPr>
        <w:tc>
          <w:tcPr>
            <w:tcW w:w="4140" w:type="dxa"/>
            <w:vAlign w:val="bottom"/>
            <w:tcBorders>
              <w:top w:val="single" w:sz="8" w:color="auto"/>
              <w:bottom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tc>
        <w:tc>
          <w:tcPr>
            <w:tcW w:w="2700" w:type="dxa"/>
            <w:vAlign w:val="bottom"/>
            <w:tcBorders>
              <w:top w:val="single" w:sz="8" w:color="auto"/>
              <w:bottom w:val="single" w:sz="8" w:color="auto"/>
            </w:tcBorders>
            <w:shd w:val="clear" w:color="auto" w:fill="D9D9D9"/>
          </w:tcPr>
          <w:p>
            <w:pPr>
              <w:spacing w:after="0"/>
              <w:rPr>
                <w:sz w:val="15"/>
                <w:szCs w:val="15"/>
                <w:color w:val="auto"/>
              </w:rPr>
            </w:pPr>
          </w:p>
        </w:tc>
        <w:tc>
          <w:tcPr>
            <w:tcW w:w="360" w:type="dxa"/>
            <w:vAlign w:val="bottom"/>
            <w:tcBorders>
              <w:top w:val="single" w:sz="8" w:color="auto"/>
              <w:bottom w:val="single" w:sz="8" w:color="auto"/>
            </w:tcBorders>
            <w:shd w:val="clear" w:color="auto" w:fill="D9D9D9"/>
          </w:tcPr>
          <w:p>
            <w:pPr>
              <w:spacing w:after="0"/>
              <w:rPr>
                <w:sz w:val="15"/>
                <w:szCs w:val="15"/>
                <w:color w:val="auto"/>
              </w:rPr>
            </w:pPr>
          </w:p>
        </w:tc>
        <w:tc>
          <w:tcPr>
            <w:tcW w:w="1880" w:type="dxa"/>
            <w:vAlign w:val="bottom"/>
            <w:tcBorders>
              <w:top w:val="single" w:sz="8" w:color="auto"/>
              <w:bottom w:val="single" w:sz="8" w:color="auto"/>
            </w:tcBorders>
            <w:gridSpan w:val="2"/>
            <w:shd w:val="clear" w:color="auto" w:fill="D9D9D9"/>
          </w:tcPr>
          <w:p>
            <w:pPr>
              <w:ind w:left="300"/>
              <w:spacing w:after="0"/>
              <w:rPr>
                <w:sz w:val="20"/>
                <w:szCs w:val="20"/>
                <w:color w:val="auto"/>
              </w:rPr>
            </w:pPr>
            <w:r>
              <w:rPr>
                <w:rFonts w:ascii="Times New Roman" w:cs="Times New Roman" w:eastAsia="Times New Roman" w:hAnsi="Times New Roman"/>
                <w:sz w:val="14"/>
                <w:szCs w:val="14"/>
                <w:b w:val="1"/>
                <w:bCs w:val="1"/>
                <w:color w:val="auto"/>
              </w:rPr>
              <w:t>Q4 2024 LQA</w:t>
            </w:r>
          </w:p>
        </w:tc>
        <w:tc>
          <w:tcPr>
            <w:tcW w:w="100" w:type="dxa"/>
            <w:vAlign w:val="bottom"/>
            <w:tcBorders>
              <w:top w:val="single" w:sz="8" w:color="auto"/>
              <w:bottom w:val="single" w:sz="8" w:color="auto"/>
            </w:tcBorders>
            <w:shd w:val="clear" w:color="auto" w:fill="D9D9D9"/>
          </w:tcPr>
          <w:p>
            <w:pPr>
              <w:spacing w:after="0"/>
              <w:rPr>
                <w:sz w:val="15"/>
                <w:szCs w:val="15"/>
                <w:color w:val="auto"/>
              </w:rPr>
            </w:pPr>
          </w:p>
        </w:tc>
        <w:tc>
          <w:tcPr>
            <w:tcW w:w="20" w:type="dxa"/>
            <w:vAlign w:val="bottom"/>
            <w:tcBorders>
              <w:top w:val="single" w:sz="8" w:color="auto"/>
              <w:bottom w:val="single" w:sz="8" w:color="auto"/>
            </w:tcBorders>
            <w:shd w:val="clear" w:color="auto" w:fill="D9D9D9"/>
          </w:tcPr>
          <w:p>
            <w:pPr>
              <w:spacing w:after="0"/>
              <w:rPr>
                <w:sz w:val="15"/>
                <w:szCs w:val="15"/>
                <w:color w:val="auto"/>
              </w:rPr>
            </w:pPr>
          </w:p>
        </w:tc>
        <w:tc>
          <w:tcPr>
            <w:tcW w:w="2060" w:type="dxa"/>
            <w:vAlign w:val="bottom"/>
            <w:tcBorders>
              <w:top w:val="single" w:sz="8" w:color="auto"/>
              <w:bottom w:val="single" w:sz="8" w:color="auto"/>
            </w:tcBorders>
            <w:shd w:val="clear" w:color="auto" w:fill="D9D9D9"/>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Q4 2023 LQA</w:t>
            </w:r>
          </w:p>
        </w:tc>
        <w:tc>
          <w:tcPr>
            <w:tcW w:w="0" w:type="dxa"/>
            <w:vAlign w:val="bottom"/>
          </w:tcPr>
          <w:p>
            <w:pPr>
              <w:spacing w:after="0"/>
              <w:rPr>
                <w:sz w:val="1"/>
                <w:szCs w:val="1"/>
                <w:color w:val="auto"/>
              </w:rPr>
            </w:pPr>
          </w:p>
        </w:tc>
      </w:tr>
      <w:tr>
        <w:trPr>
          <w:trHeight w:val="181"/>
        </w:trPr>
        <w:tc>
          <w:tcPr>
            <w:tcW w:w="4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(d)</w:t>
            </w:r>
          </w:p>
        </w:tc>
        <w:tc>
          <w:tcPr>
            <w:tcW w:w="306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89"/>
        </w:trPr>
        <w:tc>
          <w:tcPr>
            <w:tcW w:w="4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Less: Amortization of prepaid rent</w:t>
            </w: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0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Straight-lined revenues</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4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Add: Straight-lined expenses</w:t>
            </w: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80" w:type="dxa"/>
            <w:vAlign w:val="bottom"/>
            <w:gridSpan w:val="2"/>
            <w:shd w:val="clear" w:color="auto" w:fill="DBE5F1"/>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DBE5F1"/>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Add: Indirect labor costs</w:t>
            </w:r>
            <w:r>
              <w:rPr>
                <w:rFonts w:ascii="Times New Roman" w:cs="Times New Roman" w:eastAsia="Times New Roman" w:hAnsi="Times New Roman"/>
                <w:sz w:val="18"/>
                <w:szCs w:val="18"/>
                <w:color w:val="auto"/>
                <w:vertAlign w:val="superscript"/>
              </w:rPr>
              <w:t>(e)</w:t>
            </w:r>
          </w:p>
        </w:tc>
        <w:tc>
          <w:tcPr>
            <w:tcW w:w="2700" w:type="dxa"/>
            <w:vAlign w:val="bottom"/>
            <w:tcBorders>
              <w:bottom w:val="single" w:sz="8" w:color="DBE5F1"/>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1"/>
        </w:trPr>
        <w:tc>
          <w:tcPr>
            <w:tcW w:w="4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700" w:type="dxa"/>
            <w:vAlign w:val="bottom"/>
            <w:shd w:val="clear" w:color="auto" w:fill="DBE5F1"/>
          </w:tcPr>
          <w:p>
            <w:pPr>
              <w:spacing w:after="0"/>
              <w:rPr>
                <w:sz w:val="15"/>
                <w:szCs w:val="15"/>
                <w:color w:val="auto"/>
              </w:rPr>
            </w:pPr>
          </w:p>
        </w:tc>
        <w:tc>
          <w:tcPr>
            <w:tcW w:w="360" w:type="dxa"/>
            <w:vAlign w:val="bottom"/>
            <w:shd w:val="clear" w:color="auto" w:fill="DBE5F1"/>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shd w:val="clear" w:color="auto" w:fill="DBE5F1"/>
          </w:tcPr>
          <w:p>
            <w:pPr>
              <w:spacing w:after="0"/>
              <w:rPr>
                <w:sz w:val="15"/>
                <w:szCs w:val="15"/>
                <w:color w:val="auto"/>
              </w:rPr>
            </w:pPr>
          </w:p>
        </w:tc>
        <w:tc>
          <w:tcPr>
            <w:tcW w:w="120" w:type="dxa"/>
            <w:vAlign w:val="bottom"/>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1,226</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net investment in property and equipment</w:t>
            </w:r>
            <w:r>
              <w:rPr>
                <w:rFonts w:ascii="Times New Roman" w:cs="Times New Roman" w:eastAsia="Times New Roman" w:hAnsi="Times New Roman"/>
                <w:sz w:val="18"/>
                <w:szCs w:val="18"/>
                <w:color w:val="auto"/>
                <w:vertAlign w:val="superscript"/>
              </w:rPr>
              <w:t>(f)</w:t>
            </w:r>
          </w:p>
        </w:tc>
        <w:tc>
          <w:tcPr>
            <w:tcW w:w="3060" w:type="dxa"/>
            <w:vAlign w:val="bottom"/>
            <w:gridSpan w:val="2"/>
            <w:shd w:val="clear" w:color="auto" w:fill="DBE5F1"/>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10,093</w:t>
            </w:r>
          </w:p>
        </w:tc>
        <w:tc>
          <w:tcPr>
            <w:tcW w:w="80" w:type="dxa"/>
            <w:vAlign w:val="bottom"/>
            <w:shd w:val="clear" w:color="auto" w:fill="DBE5F1"/>
          </w:tcPr>
          <w:p>
            <w:pPr>
              <w:spacing w:after="0"/>
              <w:rPr>
                <w:sz w:val="16"/>
                <w:szCs w:val="16"/>
                <w:color w:val="auto"/>
              </w:rPr>
            </w:pPr>
          </w:p>
        </w:tc>
        <w:tc>
          <w:tcPr>
            <w:tcW w:w="120" w:type="dxa"/>
            <w:vAlign w:val="bottom"/>
            <w:gridSpan w:val="2"/>
            <w:shd w:val="clear" w:color="auto" w:fill="DBE5F1"/>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9,539</w:t>
            </w:r>
          </w:p>
        </w:tc>
        <w:tc>
          <w:tcPr>
            <w:tcW w:w="0" w:type="dxa"/>
            <w:vAlign w:val="bottom"/>
          </w:tcPr>
          <w:p>
            <w:pPr>
              <w:spacing w:after="0"/>
              <w:rPr>
                <w:sz w:val="1"/>
                <w:szCs w:val="1"/>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investment in site rental contracts and tenant relationships</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3,290</w:t>
            </w:r>
          </w:p>
        </w:tc>
        <w:tc>
          <w:tcPr>
            <w:tcW w:w="0" w:type="dxa"/>
            <w:vAlign w:val="bottom"/>
          </w:tcPr>
          <w:p>
            <w:pPr>
              <w:spacing w:after="0"/>
              <w:rPr>
                <w:sz w:val="1"/>
                <w:szCs w:val="1"/>
                <w:color w:val="auto"/>
              </w:rPr>
            </w:pPr>
          </w:p>
        </w:tc>
      </w:tr>
      <w:tr>
        <w:trPr>
          <w:trHeight w:val="192"/>
        </w:trPr>
        <w:tc>
          <w:tcPr>
            <w:tcW w:w="414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Segment investment in goodwill</w:t>
            </w:r>
            <w:r>
              <w:rPr>
                <w:rFonts w:ascii="Times New Roman" w:cs="Times New Roman" w:eastAsia="Times New Roman" w:hAnsi="Times New Roman"/>
                <w:sz w:val="18"/>
                <w:szCs w:val="18"/>
                <w:color w:val="auto"/>
                <w:vertAlign w:val="superscript"/>
              </w:rPr>
              <w:t>(g)(h)</w:t>
            </w: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80" w:type="dxa"/>
            <w:vAlign w:val="bottom"/>
            <w:gridSpan w:val="2"/>
            <w:shd w:val="clear" w:color="auto" w:fill="DBE5F1"/>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181"/>
        </w:trPr>
        <w:tc>
          <w:tcPr>
            <w:tcW w:w="4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Net Invested Capital</w:t>
            </w:r>
            <w:r>
              <w:rPr>
                <w:rFonts w:ascii="Times New Roman" w:cs="Times New Roman" w:eastAsia="Times New Roman" w:hAnsi="Times New Roman"/>
                <w:sz w:val="18"/>
                <w:szCs w:val="18"/>
                <w:color w:val="auto"/>
                <w:vertAlign w:val="superscript"/>
              </w:rPr>
              <w:t>(c)</w:t>
            </w:r>
          </w:p>
        </w:tc>
        <w:tc>
          <w:tcPr>
            <w:tcW w:w="270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13,383</w:t>
            </w:r>
          </w:p>
        </w:tc>
        <w:tc>
          <w:tcPr>
            <w:tcW w:w="80" w:type="dxa"/>
            <w:vAlign w:val="bottom"/>
          </w:tcPr>
          <w:p>
            <w:pPr>
              <w:spacing w:after="0"/>
              <w:rPr>
                <w:sz w:val="15"/>
                <w:szCs w:val="15"/>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16,909</w:t>
            </w:r>
          </w:p>
        </w:tc>
        <w:tc>
          <w:tcPr>
            <w:tcW w:w="0" w:type="dxa"/>
            <w:vAlign w:val="bottom"/>
          </w:tcPr>
          <w:p>
            <w:pPr>
              <w:spacing w:after="0"/>
              <w:rPr>
                <w:sz w:val="1"/>
                <w:szCs w:val="1"/>
                <w:color w:val="auto"/>
              </w:rPr>
            </w:pPr>
          </w:p>
        </w:tc>
      </w:tr>
      <w:tr>
        <w:trPr>
          <w:trHeight w:val="189"/>
        </w:trPr>
        <w:tc>
          <w:tcPr>
            <w:tcW w:w="4140" w:type="dxa"/>
            <w:vAlign w:val="bottom"/>
            <w:shd w:val="clear" w:color="auto" w:fill="DBE5F1"/>
          </w:tcPr>
          <w:p>
            <w:pPr>
              <w:spacing w:after="0"/>
              <w:rPr>
                <w:sz w:val="16"/>
                <w:szCs w:val="16"/>
                <w:color w:val="auto"/>
              </w:rPr>
            </w:pP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Cash Yield on Invested Capital</w:t>
            </w:r>
            <w:r>
              <w:rPr>
                <w:rFonts w:ascii="Times New Roman" w:cs="Times New Roman" w:eastAsia="Times New Roman" w:hAnsi="Times New Roman"/>
                <w:sz w:val="18"/>
                <w:szCs w:val="18"/>
                <w:color w:val="auto"/>
                <w:vertAlign w:val="superscript"/>
              </w:rPr>
              <w:t>(c)</w:t>
            </w:r>
          </w:p>
        </w:tc>
        <w:tc>
          <w:tcPr>
            <w:tcW w:w="2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FIBER SOLUTIONS REVENUE MIX</w:t>
            </w:r>
          </w:p>
        </w:tc>
        <w:tc>
          <w:tcPr>
            <w:tcW w:w="1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140" w:type="dxa"/>
            <w:vAlign w:val="bottom"/>
            <w:vMerge w:val="restart"/>
            <w:shd w:val="clear" w:color="auto" w:fill="D9D9D9"/>
          </w:tcPr>
          <w:p>
            <w:pPr>
              <w:ind w:left="20"/>
              <w:spacing w:after="0"/>
              <w:rPr>
                <w:sz w:val="20"/>
                <w:szCs w:val="20"/>
                <w:color w:val="auto"/>
              </w:rPr>
            </w:pPr>
            <w:r>
              <w:rPr>
                <w:rFonts w:ascii="Times New Roman" w:cs="Times New Roman" w:eastAsia="Times New Roman" w:hAnsi="Times New Roman"/>
                <w:sz w:val="14"/>
                <w:szCs w:val="14"/>
                <w:i w:val="1"/>
                <w:iCs w:val="1"/>
                <w:color w:val="auto"/>
              </w:rPr>
              <w:t>(as of December 31, 2024)</w:t>
            </w:r>
          </w:p>
        </w:tc>
        <w:tc>
          <w:tcPr>
            <w:tcW w:w="2700" w:type="dxa"/>
            <w:vAlign w:val="bottom"/>
            <w:shd w:val="clear" w:color="auto" w:fill="D9D9D9"/>
          </w:tcPr>
          <w:p>
            <w:pPr>
              <w:spacing w:after="0"/>
              <w:rPr>
                <w:sz w:val="11"/>
                <w:szCs w:val="11"/>
                <w:color w:val="auto"/>
              </w:rPr>
            </w:pPr>
          </w:p>
        </w:tc>
        <w:tc>
          <w:tcPr>
            <w:tcW w:w="360" w:type="dxa"/>
            <w:vAlign w:val="bottom"/>
            <w:shd w:val="clear" w:color="auto" w:fill="D9D9D9"/>
          </w:tcPr>
          <w:p>
            <w:pPr>
              <w:spacing w:after="0"/>
              <w:rPr>
                <w:sz w:val="11"/>
                <w:szCs w:val="11"/>
                <w:color w:val="auto"/>
              </w:rPr>
            </w:pPr>
          </w:p>
        </w:tc>
        <w:tc>
          <w:tcPr>
            <w:tcW w:w="1800" w:type="dxa"/>
            <w:vAlign w:val="bottom"/>
            <w:shd w:val="clear" w:color="auto" w:fill="D9D9D9"/>
          </w:tcPr>
          <w:p>
            <w:pPr>
              <w:spacing w:after="0"/>
              <w:rPr>
                <w:sz w:val="11"/>
                <w:szCs w:val="11"/>
                <w:color w:val="auto"/>
              </w:rPr>
            </w:pPr>
          </w:p>
        </w:tc>
        <w:tc>
          <w:tcPr>
            <w:tcW w:w="80" w:type="dxa"/>
            <w:vAlign w:val="bottom"/>
            <w:shd w:val="clear" w:color="auto" w:fill="D9D9D9"/>
          </w:tcPr>
          <w:p>
            <w:pPr>
              <w:spacing w:after="0"/>
              <w:rPr>
                <w:sz w:val="11"/>
                <w:szCs w:val="11"/>
                <w:color w:val="auto"/>
              </w:rPr>
            </w:pPr>
          </w:p>
        </w:tc>
        <w:tc>
          <w:tcPr>
            <w:tcW w:w="100" w:type="dxa"/>
            <w:vAlign w:val="bottom"/>
            <w:shd w:val="clear" w:color="auto" w:fill="D9D9D9"/>
          </w:tcPr>
          <w:p>
            <w:pPr>
              <w:spacing w:after="0"/>
              <w:rPr>
                <w:sz w:val="11"/>
                <w:szCs w:val="11"/>
                <w:color w:val="auto"/>
              </w:rPr>
            </w:pPr>
          </w:p>
        </w:tc>
        <w:tc>
          <w:tcPr>
            <w:tcW w:w="20" w:type="dxa"/>
            <w:vAlign w:val="bottom"/>
            <w:shd w:val="clear" w:color="auto" w:fill="D9D9D9"/>
          </w:tcPr>
          <w:p>
            <w:pPr>
              <w:spacing w:after="0"/>
              <w:rPr>
                <w:sz w:val="11"/>
                <w:szCs w:val="11"/>
                <w:color w:val="auto"/>
              </w:rPr>
            </w:pPr>
          </w:p>
        </w:tc>
        <w:tc>
          <w:tcPr>
            <w:tcW w:w="2060" w:type="dxa"/>
            <w:vAlign w:val="bottom"/>
            <w:shd w:val="clear" w:color="auto" w:fill="D9D9D9"/>
          </w:tcPr>
          <w:p>
            <w:pPr>
              <w:jc w:val="right"/>
              <w:ind w:right="9"/>
              <w:spacing w:after="0" w:line="137" w:lineRule="exact"/>
              <w:rPr>
                <w:sz w:val="20"/>
                <w:szCs w:val="20"/>
                <w:color w:val="auto"/>
              </w:rPr>
            </w:pPr>
            <w:r>
              <w:rPr>
                <w:rFonts w:ascii="Times New Roman" w:cs="Times New Roman" w:eastAsia="Times New Roman" w:hAnsi="Times New Roman"/>
                <w:sz w:val="14"/>
                <w:szCs w:val="14"/>
                <w:b w:val="1"/>
                <w:bCs w:val="1"/>
                <w:color w:val="auto"/>
              </w:rPr>
              <w:t>Percentage of Q4 2024 LQA Site</w:t>
            </w:r>
          </w:p>
        </w:tc>
        <w:tc>
          <w:tcPr>
            <w:tcW w:w="0" w:type="dxa"/>
            <w:vAlign w:val="bottom"/>
          </w:tcPr>
          <w:p>
            <w:pPr>
              <w:spacing w:after="0"/>
              <w:rPr>
                <w:sz w:val="1"/>
                <w:szCs w:val="1"/>
                <w:color w:val="auto"/>
              </w:rPr>
            </w:pPr>
          </w:p>
        </w:tc>
      </w:tr>
      <w:tr>
        <w:trPr>
          <w:trHeight w:val="188"/>
        </w:trPr>
        <w:tc>
          <w:tcPr>
            <w:tcW w:w="4140" w:type="dxa"/>
            <w:vAlign w:val="bottom"/>
            <w:tcBorders>
              <w:bottom w:val="single" w:sz="8" w:color="auto"/>
            </w:tcBorders>
            <w:vMerge w:val="continue"/>
            <w:shd w:val="clear" w:color="auto" w:fill="D9D9D9"/>
          </w:tcPr>
          <w:p>
            <w:pPr>
              <w:spacing w:after="0"/>
              <w:rPr>
                <w:sz w:val="16"/>
                <w:szCs w:val="16"/>
                <w:color w:val="auto"/>
              </w:rPr>
            </w:pPr>
          </w:p>
        </w:tc>
        <w:tc>
          <w:tcPr>
            <w:tcW w:w="2700" w:type="dxa"/>
            <w:vAlign w:val="bottom"/>
            <w:tcBorders>
              <w:bottom w:val="single" w:sz="8" w:color="auto"/>
            </w:tcBorders>
            <w:shd w:val="clear" w:color="auto" w:fill="D9D9D9"/>
          </w:tcPr>
          <w:p>
            <w:pPr>
              <w:spacing w:after="0"/>
              <w:rPr>
                <w:sz w:val="16"/>
                <w:szCs w:val="16"/>
                <w:color w:val="auto"/>
              </w:rPr>
            </w:pPr>
          </w:p>
        </w:tc>
        <w:tc>
          <w:tcPr>
            <w:tcW w:w="360" w:type="dxa"/>
            <w:vAlign w:val="bottom"/>
            <w:tcBorders>
              <w:bottom w:val="single" w:sz="8" w:color="auto"/>
            </w:tcBorders>
            <w:shd w:val="clear" w:color="auto" w:fill="D9D9D9"/>
          </w:tcPr>
          <w:p>
            <w:pPr>
              <w:spacing w:after="0"/>
              <w:rPr>
                <w:sz w:val="16"/>
                <w:szCs w:val="16"/>
                <w:color w:val="auto"/>
              </w:rPr>
            </w:pPr>
          </w:p>
        </w:tc>
        <w:tc>
          <w:tcPr>
            <w:tcW w:w="180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tcBorders>
            <w:shd w:val="clear" w:color="auto" w:fill="D9D9D9"/>
          </w:tcPr>
          <w:p>
            <w:pPr>
              <w:spacing w:after="0"/>
              <w:rPr>
                <w:sz w:val="16"/>
                <w:szCs w:val="16"/>
                <w:color w:val="auto"/>
              </w:rPr>
            </w:pPr>
          </w:p>
        </w:tc>
        <w:tc>
          <w:tcPr>
            <w:tcW w:w="100" w:type="dxa"/>
            <w:vAlign w:val="bottom"/>
            <w:tcBorders>
              <w:bottom w:val="single" w:sz="8" w:color="auto"/>
            </w:tcBorders>
            <w:shd w:val="clear" w:color="auto" w:fill="D9D9D9"/>
          </w:tcPr>
          <w:p>
            <w:pPr>
              <w:spacing w:after="0"/>
              <w:rPr>
                <w:sz w:val="16"/>
                <w:szCs w:val="16"/>
                <w:color w:val="auto"/>
              </w:rPr>
            </w:pPr>
          </w:p>
        </w:tc>
        <w:tc>
          <w:tcPr>
            <w:tcW w:w="20" w:type="dxa"/>
            <w:vAlign w:val="bottom"/>
            <w:tcBorders>
              <w:bottom w:val="single" w:sz="8" w:color="auto"/>
            </w:tcBorders>
            <w:shd w:val="clear" w:color="auto" w:fill="D9D9D9"/>
          </w:tcPr>
          <w:p>
            <w:pPr>
              <w:spacing w:after="0"/>
              <w:rPr>
                <w:sz w:val="16"/>
                <w:szCs w:val="16"/>
                <w:color w:val="auto"/>
              </w:rPr>
            </w:pPr>
          </w:p>
        </w:tc>
        <w:tc>
          <w:tcPr>
            <w:tcW w:w="2060" w:type="dxa"/>
            <w:vAlign w:val="bottom"/>
            <w:tcBorders>
              <w:bottom w:val="single" w:sz="8" w:color="auto"/>
            </w:tcBorders>
            <w:shd w:val="clear" w:color="auto" w:fill="D9D9D9"/>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Rental Revenues</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color w:val="auto"/>
              </w:rPr>
              <w:t>Carrier</w:t>
            </w:r>
            <w:r>
              <w:rPr>
                <w:rFonts w:ascii="Times New Roman" w:cs="Times New Roman" w:eastAsia="Times New Roman" w:hAnsi="Times New Roman"/>
                <w:sz w:val="18"/>
                <w:szCs w:val="18"/>
                <w:color w:val="auto"/>
                <w:vertAlign w:val="superscript"/>
              </w:rPr>
              <w:t>(i)</w:t>
            </w:r>
          </w:p>
        </w:tc>
        <w:tc>
          <w:tcPr>
            <w:tcW w:w="2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9"/>
        </w:trPr>
        <w:tc>
          <w:tcPr>
            <w:tcW w:w="4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7"/>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w:t>
            </w:r>
          </w:p>
        </w:tc>
        <w:tc>
          <w:tcPr>
            <w:tcW w:w="2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4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700" w:type="dxa"/>
            <w:vAlign w:val="bottom"/>
            <w:shd w:val="clear" w:color="auto" w:fill="DBE5F1"/>
          </w:tcPr>
          <w:p>
            <w:pPr>
              <w:spacing w:after="0"/>
              <w:rPr>
                <w:sz w:val="16"/>
                <w:szCs w:val="16"/>
                <w:color w:val="auto"/>
              </w:rPr>
            </w:pPr>
          </w:p>
        </w:tc>
        <w:tc>
          <w:tcPr>
            <w:tcW w:w="360" w:type="dxa"/>
            <w:vAlign w:val="bottom"/>
            <w:shd w:val="clear" w:color="auto" w:fill="DBE5F1"/>
          </w:tcPr>
          <w:p>
            <w:pPr>
              <w:spacing w:after="0"/>
              <w:rPr>
                <w:sz w:val="16"/>
                <w:szCs w:val="16"/>
                <w:color w:val="auto"/>
              </w:rPr>
            </w:pPr>
          </w:p>
        </w:tc>
        <w:tc>
          <w:tcPr>
            <w:tcW w:w="18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 w:type="dxa"/>
            <w:vAlign w:val="bottom"/>
            <w:shd w:val="clear" w:color="auto" w:fill="DBE5F1"/>
          </w:tcPr>
          <w:p>
            <w:pPr>
              <w:spacing w:after="0"/>
              <w:rPr>
                <w:sz w:val="16"/>
                <w:szCs w:val="16"/>
                <w:color w:val="auto"/>
              </w:rPr>
            </w:pPr>
          </w:p>
        </w:tc>
        <w:tc>
          <w:tcPr>
            <w:tcW w:w="206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700" w:type="dxa"/>
            <w:vAlign w:val="bottom"/>
            <w:tcBorders>
              <w:bottom w:val="single" w:sz="8" w:color="DBE5F1"/>
            </w:tcBorders>
          </w:tcPr>
          <w:p>
            <w:pPr>
              <w:spacing w:after="0"/>
              <w:rPr>
                <w:sz w:val="16"/>
                <w:szCs w:val="16"/>
                <w:color w:val="auto"/>
              </w:rPr>
            </w:pPr>
          </w:p>
        </w:tc>
        <w:tc>
          <w:tcPr>
            <w:tcW w:w="360" w:type="dxa"/>
            <w:vAlign w:val="bottom"/>
            <w:tcBorders>
              <w:bottom w:val="single" w:sz="8" w:color="DBE5F1"/>
            </w:tcBorders>
          </w:tcPr>
          <w:p>
            <w:pPr>
              <w:spacing w:after="0"/>
              <w:rPr>
                <w:sz w:val="16"/>
                <w:szCs w:val="16"/>
                <w:color w:val="auto"/>
              </w:rPr>
            </w:pPr>
          </w:p>
        </w:tc>
        <w:tc>
          <w:tcPr>
            <w:tcW w:w="180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8"/>
        </w:trPr>
        <w:tc>
          <w:tcPr>
            <w:tcW w:w="414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700" w:type="dxa"/>
            <w:vAlign w:val="bottom"/>
            <w:tcBorders>
              <w:bottom w:val="single" w:sz="8" w:color="DBE5F1"/>
            </w:tcBorders>
            <w:shd w:val="clear" w:color="auto" w:fill="DBE5F1"/>
          </w:tcPr>
          <w:p>
            <w:pPr>
              <w:spacing w:after="0"/>
              <w:rPr>
                <w:sz w:val="17"/>
                <w:szCs w:val="17"/>
                <w:color w:val="auto"/>
              </w:rPr>
            </w:pPr>
          </w:p>
        </w:tc>
        <w:tc>
          <w:tcPr>
            <w:tcW w:w="360" w:type="dxa"/>
            <w:vAlign w:val="bottom"/>
            <w:tcBorders>
              <w:bottom w:val="single" w:sz="8" w:color="DBE5F1"/>
            </w:tcBorders>
            <w:shd w:val="clear" w:color="auto" w:fill="DBE5F1"/>
          </w:tcPr>
          <w:p>
            <w:pPr>
              <w:spacing w:after="0"/>
              <w:rPr>
                <w:sz w:val="17"/>
                <w:szCs w:val="17"/>
                <w:color w:val="auto"/>
              </w:rPr>
            </w:pPr>
          </w:p>
        </w:tc>
        <w:tc>
          <w:tcPr>
            <w:tcW w:w="180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20" w:type="dxa"/>
            <w:vAlign w:val="bottom"/>
            <w:tcBorders>
              <w:bottom w:val="single" w:sz="8" w:color="auto"/>
            </w:tcBorders>
            <w:shd w:val="clear" w:color="auto" w:fill="DBE5F1"/>
          </w:tcPr>
          <w:p>
            <w:pPr>
              <w:spacing w:after="0"/>
              <w:rPr>
                <w:sz w:val="17"/>
                <w:szCs w:val="17"/>
                <w:color w:val="auto"/>
              </w:rPr>
            </w:pPr>
          </w:p>
        </w:tc>
        <w:tc>
          <w:tcPr>
            <w:tcW w:w="206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4140" w:type="dxa"/>
            <w:vAlign w:val="bottom"/>
            <w:tcBorders>
              <w:top w:val="single" w:sz="8" w:color="DBE5F1"/>
            </w:tcBorders>
          </w:tcPr>
          <w:p>
            <w:pPr>
              <w:spacing w:after="0" w:line="20" w:lineRule="exact"/>
              <w:rPr>
                <w:sz w:val="1"/>
                <w:szCs w:val="1"/>
                <w:color w:val="auto"/>
              </w:rPr>
            </w:pPr>
          </w:p>
        </w:tc>
        <w:tc>
          <w:tcPr>
            <w:tcW w:w="2700" w:type="dxa"/>
            <w:vAlign w:val="bottom"/>
            <w:tcBorders>
              <w:top w:val="single" w:sz="8" w:color="DBE5F1"/>
            </w:tcBorders>
          </w:tcPr>
          <w:p>
            <w:pPr>
              <w:spacing w:after="0" w:line="20" w:lineRule="exact"/>
              <w:rPr>
                <w:sz w:val="1"/>
                <w:szCs w:val="1"/>
                <w:color w:val="auto"/>
              </w:rPr>
            </w:pPr>
          </w:p>
        </w:tc>
        <w:tc>
          <w:tcPr>
            <w:tcW w:w="360" w:type="dxa"/>
            <w:vAlign w:val="bottom"/>
            <w:tcBorders>
              <w:top w:val="single" w:sz="8" w:color="DBE5F1"/>
            </w:tcBorders>
          </w:tcPr>
          <w:p>
            <w:pPr>
              <w:spacing w:after="0" w:line="20" w:lineRule="exact"/>
              <w:rPr>
                <w:sz w:val="1"/>
                <w:szCs w:val="1"/>
                <w:color w:val="auto"/>
              </w:rPr>
            </w:pPr>
          </w:p>
        </w:tc>
        <w:tc>
          <w:tcPr>
            <w:tcW w:w="180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206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85" w:hanging="285"/>
        <w:spacing w:after="0"/>
        <w:tabs>
          <w:tab w:leader="none" w:pos="28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renewal terms at tenants' option.</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by site rental revenues.</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definitions and calculations of, Segment Cash Yield on Invested Capital and Segment Net Invested Capital.</w:t>
      </w:r>
    </w:p>
    <w:p>
      <w:pPr>
        <w:ind w:left="285" w:hanging="285"/>
        <w:spacing w:after="0"/>
        <w:tabs>
          <w:tab w:leader="none" w:pos="28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3"/>
          <w:szCs w:val="13"/>
          <w:i w:val="1"/>
          <w:iCs w:val="1"/>
          <w:color w:val="auto"/>
        </w:rPr>
        <w:t>"Segment Operating Results"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xml:space="preserve"> for further information on, and our definition and calculation of, Segment Adjusted Site Rental Gross Margin.</w:t>
      </w:r>
    </w:p>
    <w:p>
      <w:pPr>
        <w:jc w:val="both"/>
        <w:ind w:left="285" w:hanging="285"/>
        <w:spacing w:after="0" w:line="246" w:lineRule="auto"/>
        <w:tabs>
          <w:tab w:leader="none" w:pos="283"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adjustment represents indirect labor costs in the Fiber segment that are not capitalized, but that primarily support the Company's ongoing expansion of its Fiber segment that management expects to generate future revenues for the Company. Removal of these indirect labor costs presents Segment Cash Yield on Invested Capital on a direct cost basis, consistent with the methodology used by management when evaluating project-level investment opportunities.</w:t>
      </w:r>
    </w:p>
    <w:p>
      <w:pPr>
        <w:spacing w:after="0" w:line="1" w:lineRule="exact"/>
        <w:rPr>
          <w:rFonts w:ascii="Times New Roman" w:cs="Times New Roman" w:eastAsia="Times New Roman" w:hAnsi="Times New Roman"/>
          <w:sz w:val="13"/>
          <w:szCs w:val="13"/>
          <w:color w:val="auto"/>
        </w:rPr>
      </w:pPr>
    </w:p>
    <w:p>
      <w:pPr>
        <w:ind w:left="285" w:right="20" w:hanging="285"/>
        <w:spacing w:after="0" w:line="237" w:lineRule="auto"/>
        <w:tabs>
          <w:tab w:leader="none" w:pos="281"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net investment in property and equipment excludes the impact of construction in process and non-productive assets (such as information technology assets and buildings) and is reduced by the amount of prepaid rent received from tenants (excluding any deferred credits recorded in connection with acquisitions).</w:t>
      </w:r>
    </w:p>
    <w:p>
      <w:pPr>
        <w:ind w:left="285" w:hanging="285"/>
        <w:spacing w:after="0"/>
        <w:tabs>
          <w:tab w:leader="none" w:pos="28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investment in goodwill excludes the impact of certain assets and liabilities recorded in connection with acquisitions (primarily deferred credits).</w:t>
      </w:r>
    </w:p>
    <w:p>
      <w:pPr>
        <w:spacing w:after="0" w:line="4" w:lineRule="exact"/>
        <w:rPr>
          <w:rFonts w:ascii="Times New Roman" w:cs="Times New Roman" w:eastAsia="Times New Roman" w:hAnsi="Times New Roman"/>
          <w:sz w:val="13"/>
          <w:szCs w:val="13"/>
          <w:color w:val="auto"/>
        </w:rPr>
      </w:pPr>
    </w:p>
    <w:p>
      <w:pPr>
        <w:ind w:left="285" w:right="20" w:hanging="285"/>
        <w:spacing w:after="0" w:line="246" w:lineRule="auto"/>
        <w:tabs>
          <w:tab w:leader="none" w:pos="279"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Q4 2024 LQA segment investment in goodwill is exclusive of the approximately $5.0 billion impairment charges related to goodwill for the Company's Fiber reporting unit that was recorded in the fourth quarter of 2024.</w:t>
      </w:r>
    </w:p>
    <w:p>
      <w:pPr>
        <w:spacing w:after="0" w:line="1"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revenues derived from both wireless carriers and wholesale carriers.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65"/>
          </w:cols>
          <w:pgMar w:left="315" w:top="120" w:right="319" w:bottom="1440" w:gutter="0" w:footer="0" w:header="0"/>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Borders>
              <w:top w:val="single" w:sz="8" w:color="auto"/>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par values)</w:t>
            </w: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1600" w:type="dxa"/>
            <w:vAlign w:val="bottom"/>
            <w:tcBorders>
              <w:top w:val="single" w:sz="8" w:color="auto"/>
              <w:bottom w:val="single" w:sz="8" w:color="auto"/>
            </w:tcBorders>
            <w:gridSpan w:val="2"/>
            <w:shd w:val="clear" w:color="auto" w:fill="DDDDDD"/>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1520" w:type="dxa"/>
            <w:vAlign w:val="bottom"/>
            <w:tcBorders>
              <w:top w:val="single" w:sz="8" w:color="auto"/>
              <w:bottom w:val="single" w:sz="8" w:color="auto"/>
            </w:tcBorders>
            <w:shd w:val="clear" w:color="auto" w:fill="DDDDDD"/>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0"/>
        </w:trPr>
        <w:tc>
          <w:tcPr>
            <w:tcW w:w="778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7"/>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Receivables, net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7"/>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site rental receivables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auto"/>
            </w:tcBorders>
            <w:shd w:val="clear" w:color="auto" w:fill="DBE5F1"/>
          </w:tcPr>
          <w:p>
            <w:pPr>
              <w:spacing w:after="0"/>
              <w:rPr>
                <w:sz w:val="16"/>
                <w:szCs w:val="16"/>
                <w:color w:val="auto"/>
              </w:rPr>
            </w:pPr>
          </w:p>
        </w:tc>
        <w:tc>
          <w:tcPr>
            <w:tcW w:w="1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15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79"/>
        </w:trPr>
        <w:tc>
          <w:tcPr>
            <w:tcW w:w="77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Deferred site rental receivables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2,343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15,666</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10,085</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87"/>
        </w:trPr>
        <w:tc>
          <w:tcPr>
            <w:tcW w:w="778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DBE5F1"/>
            </w:tcBorders>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38,527</w:t>
            </w:r>
          </w:p>
        </w:tc>
        <w:tc>
          <w:tcPr>
            <w:tcW w:w="0" w:type="dxa"/>
            <w:vAlign w:val="bottom"/>
          </w:tcPr>
          <w:p>
            <w:pPr>
              <w:spacing w:after="0"/>
              <w:rPr>
                <w:sz w:val="1"/>
                <w:szCs w:val="1"/>
                <w:color w:val="auto"/>
              </w:rPr>
            </w:pPr>
          </w:p>
        </w:tc>
      </w:tr>
      <w:tr>
        <w:trPr>
          <w:trHeight w:val="20"/>
        </w:trPr>
        <w:tc>
          <w:tcPr>
            <w:tcW w:w="77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1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152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DBE5F1"/>
          </w:tcPr>
          <w:p>
            <w:pPr>
              <w:ind w:left="4360"/>
              <w:spacing w:after="0"/>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87"/>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Deferred revenues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7"/>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Current maturities of debt and other obligations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87"/>
        </w:trPr>
        <w:tc>
          <w:tcPr>
            <w:tcW w:w="7780" w:type="dxa"/>
            <w:vAlign w:val="bottom"/>
            <w:tcBorders>
              <w:bottom w:val="single" w:sz="8" w:color="DBE5F1"/>
            </w:tcBorders>
          </w:tcPr>
          <w:p>
            <w:pPr>
              <w:ind w:left="18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3"/>
        </w:trPr>
        <w:tc>
          <w:tcPr>
            <w:tcW w:w="778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DBE5F1"/>
          </w:tcPr>
          <w:p>
            <w:pPr>
              <w:spacing w:after="0"/>
              <w:rPr>
                <w:sz w:val="15"/>
                <w:szCs w:val="15"/>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and other long-term obligations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22,086</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0" w:type="dxa"/>
            <w:vAlign w:val="bottom"/>
          </w:tcPr>
          <w:p>
            <w:pPr>
              <w:spacing w:after="0"/>
              <w:rPr>
                <w:sz w:val="1"/>
                <w:szCs w:val="1"/>
                <w:color w:val="auto"/>
              </w:rPr>
            </w:pPr>
          </w:p>
        </w:tc>
      </w:tr>
      <w:tr>
        <w:trPr>
          <w:trHeight w:val="187"/>
        </w:trPr>
        <w:tc>
          <w:tcPr>
            <w:tcW w:w="778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0" w:type="dxa"/>
            <w:vAlign w:val="bottom"/>
          </w:tcPr>
          <w:p>
            <w:pPr>
              <w:spacing w:after="0"/>
              <w:rPr>
                <w:sz w:val="1"/>
                <w:szCs w:val="1"/>
                <w:color w:val="auto"/>
              </w:rPr>
            </w:pPr>
          </w:p>
        </w:tc>
      </w:tr>
      <w:tr>
        <w:trPr>
          <w:trHeight w:val="183"/>
        </w:trPr>
        <w:tc>
          <w:tcPr>
            <w:tcW w:w="778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DBE5F1"/>
          </w:tcPr>
          <w:p>
            <w:pPr>
              <w:spacing w:after="0"/>
              <w:rPr>
                <w:sz w:val="15"/>
                <w:szCs w:val="15"/>
                <w:color w:val="auto"/>
              </w:rPr>
            </w:pPr>
          </w:p>
        </w:tc>
        <w:tc>
          <w:tcPr>
            <w:tcW w:w="1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32,869</w:t>
            </w:r>
          </w:p>
        </w:tc>
        <w:tc>
          <w:tcPr>
            <w:tcW w:w="10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15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32,146</w:t>
            </w:r>
          </w:p>
        </w:tc>
        <w:tc>
          <w:tcPr>
            <w:tcW w:w="0" w:type="dxa"/>
            <w:vAlign w:val="bottom"/>
          </w:tcPr>
          <w:p>
            <w:pPr>
              <w:spacing w:after="0"/>
              <w:rPr>
                <w:sz w:val="1"/>
                <w:szCs w:val="1"/>
                <w:color w:val="auto"/>
              </w:rPr>
            </w:pPr>
          </w:p>
        </w:tc>
      </w:tr>
      <w:tr>
        <w:trPr>
          <w:trHeight w:val="16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7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color w:val="auto"/>
              </w:rPr>
              <w:t>Common stock, 0.01 par value; 1,200 shares authorized; shares issued and outstanding: December 31, 2024—435 and December 31,</w:t>
            </w:r>
          </w:p>
        </w:tc>
        <w:tc>
          <w:tcPr>
            <w:tcW w:w="1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7"/>
        </w:trPr>
        <w:tc>
          <w:tcPr>
            <w:tcW w:w="77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2023—434</w:t>
            </w:r>
          </w:p>
        </w:tc>
        <w:tc>
          <w:tcPr>
            <w:tcW w:w="1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DBE5F1"/>
          </w:tcPr>
          <w:p>
            <w:pPr>
              <w:spacing w:after="0"/>
              <w:rPr>
                <w:sz w:val="16"/>
                <w:szCs w:val="16"/>
                <w:color w:val="auto"/>
              </w:rPr>
            </w:pPr>
          </w:p>
        </w:tc>
        <w:tc>
          <w:tcPr>
            <w:tcW w:w="1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18,393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5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18,270</w:t>
            </w:r>
          </w:p>
        </w:tc>
        <w:tc>
          <w:tcPr>
            <w:tcW w:w="0" w:type="dxa"/>
            <w:vAlign w:val="bottom"/>
          </w:tcPr>
          <w:p>
            <w:pPr>
              <w:spacing w:after="0"/>
              <w:rPr>
                <w:sz w:val="1"/>
                <w:szCs w:val="1"/>
                <w:color w:val="auto"/>
              </w:rPr>
            </w:pPr>
          </w:p>
        </w:tc>
      </w:tr>
      <w:tr>
        <w:trPr>
          <w:trHeight w:val="187"/>
        </w:trPr>
        <w:tc>
          <w:tcPr>
            <w:tcW w:w="7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2"/>
        </w:trPr>
        <w:tc>
          <w:tcPr>
            <w:tcW w:w="77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Dividends/distributions in excess of earnings</w:t>
            </w:r>
          </w:p>
        </w:tc>
        <w:tc>
          <w:tcPr>
            <w:tcW w:w="180" w:type="dxa"/>
            <w:vAlign w:val="bottom"/>
            <w:tcBorders>
              <w:bottom w:val="single" w:sz="8" w:color="auto"/>
            </w:tcBorders>
            <w:shd w:val="clear" w:color="auto" w:fill="DBE5F1"/>
          </w:tcPr>
          <w:p>
            <w:pPr>
              <w:spacing w:after="0"/>
              <w:rPr>
                <w:sz w:val="16"/>
                <w:szCs w:val="16"/>
                <w:color w:val="auto"/>
              </w:rPr>
            </w:pPr>
          </w:p>
        </w:tc>
        <w:tc>
          <w:tcPr>
            <w:tcW w:w="1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(18,525)</w:t>
            </w:r>
          </w:p>
        </w:tc>
        <w:tc>
          <w:tcPr>
            <w:tcW w:w="10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15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(11,889)</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DBE5F1"/>
            </w:tcBorders>
          </w:tcPr>
          <w:p>
            <w:pPr>
              <w:ind w:left="480"/>
              <w:spacing w:after="0"/>
              <w:rPr>
                <w:sz w:val="20"/>
                <w:szCs w:val="20"/>
                <w:color w:val="auto"/>
              </w:rPr>
            </w:pPr>
            <w:r>
              <w:rPr>
                <w:rFonts w:ascii="Times New Roman" w:cs="Times New Roman" w:eastAsia="Times New Roman" w:hAnsi="Times New Roman"/>
                <w:sz w:val="14"/>
                <w:szCs w:val="14"/>
                <w:color w:val="auto"/>
              </w:rPr>
              <w:t>Total equity (deficit)</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DBE5F1"/>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DBE5F1"/>
            </w:tcBorders>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Total liabilities and equity (deficit)</w:t>
            </w: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32,736</w:t>
            </w: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38,527</w:t>
            </w:r>
          </w:p>
        </w:tc>
        <w:tc>
          <w:tcPr>
            <w:tcW w:w="0" w:type="dxa"/>
            <w:vAlign w:val="bottom"/>
          </w:tcPr>
          <w:p>
            <w:pPr>
              <w:spacing w:after="0"/>
              <w:rPr>
                <w:sz w:val="1"/>
                <w:szCs w:val="1"/>
                <w:color w:val="auto"/>
              </w:rPr>
            </w:pPr>
          </w:p>
        </w:tc>
      </w:tr>
      <w:tr>
        <w:trPr>
          <w:trHeight w:val="20"/>
        </w:trPr>
        <w:tc>
          <w:tcPr>
            <w:tcW w:w="77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15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152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60"/>
          </w:cols>
          <w:pgMar w:left="320" w:top="120" w:right="319" w:bottom="1440" w:gutter="0" w:footer="0" w:header="0"/>
        </w:sectPr>
      </w:pPr>
    </w:p>
    <w:bookmarkStart w:id="60" w:name="page61"/>
    <w:bookmarkEnd w:id="60"/>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 (Unaudited)</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4960" w:type="dxa"/>
            <w:vAlign w:val="bottom"/>
            <w:tcBorders>
              <w:top w:val="single" w:sz="8" w:color="auto"/>
            </w:tcBorders>
            <w:shd w:val="clear" w:color="auto" w:fill="DBDBDB"/>
          </w:tcPr>
          <w:p>
            <w:pPr>
              <w:spacing w:after="0"/>
              <w:rPr>
                <w:sz w:val="16"/>
                <w:szCs w:val="16"/>
                <w:color w:val="auto"/>
              </w:rPr>
            </w:pPr>
          </w:p>
        </w:tc>
        <w:tc>
          <w:tcPr>
            <w:tcW w:w="280" w:type="dxa"/>
            <w:vAlign w:val="bottom"/>
            <w:tcBorders>
              <w:top w:val="single" w:sz="8" w:color="auto"/>
            </w:tcBorders>
            <w:shd w:val="clear" w:color="auto" w:fill="DBDBDB"/>
          </w:tcPr>
          <w:p>
            <w:pPr>
              <w:spacing w:after="0"/>
              <w:rPr>
                <w:sz w:val="16"/>
                <w:szCs w:val="16"/>
                <w:color w:val="auto"/>
              </w:rPr>
            </w:pPr>
          </w:p>
        </w:tc>
        <w:tc>
          <w:tcPr>
            <w:tcW w:w="2920" w:type="dxa"/>
            <w:vAlign w:val="bottom"/>
            <w:tcBorders>
              <w:top w:val="single" w:sz="8" w:color="auto"/>
            </w:tcBorders>
            <w:gridSpan w:val="5"/>
            <w:shd w:val="clear" w:color="auto" w:fill="DBDBDB"/>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Borders>
              <w:top w:val="single" w:sz="8" w:color="auto"/>
            </w:tcBorders>
            <w:shd w:val="clear" w:color="auto" w:fill="DBDBDB"/>
          </w:tcPr>
          <w:p>
            <w:pPr>
              <w:spacing w:after="0"/>
              <w:rPr>
                <w:sz w:val="16"/>
                <w:szCs w:val="16"/>
                <w:color w:val="auto"/>
              </w:rPr>
            </w:pPr>
          </w:p>
        </w:tc>
        <w:tc>
          <w:tcPr>
            <w:tcW w:w="2840" w:type="dxa"/>
            <w:vAlign w:val="bottom"/>
            <w:tcBorders>
              <w:top w:val="single" w:sz="8" w:color="auto"/>
            </w:tcBorders>
            <w:gridSpan w:val="4"/>
            <w:shd w:val="clear" w:color="auto" w:fill="DBDBDB"/>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0"/>
        </w:trPr>
        <w:tc>
          <w:tcPr>
            <w:tcW w:w="4960" w:type="dxa"/>
            <w:vAlign w:val="bottom"/>
            <w:tcBorders>
              <w:top w:val="single" w:sz="8" w:color="DBDBDB"/>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80" w:type="dxa"/>
            <w:vAlign w:val="bottom"/>
            <w:tcBorders>
              <w:top w:val="single" w:sz="8" w:color="auto"/>
              <w:bottom w:val="single" w:sz="8" w:color="auto"/>
            </w:tcBorders>
            <w:shd w:val="clear" w:color="auto" w:fill="DBDBDB"/>
          </w:tcPr>
          <w:p>
            <w:pPr>
              <w:spacing w:after="0"/>
              <w:rPr>
                <w:sz w:val="15"/>
                <w:szCs w:val="15"/>
                <w:color w:val="auto"/>
              </w:rPr>
            </w:pPr>
          </w:p>
        </w:tc>
        <w:tc>
          <w:tcPr>
            <w:tcW w:w="1220" w:type="dxa"/>
            <w:vAlign w:val="bottom"/>
            <w:tcBorders>
              <w:top w:val="single" w:sz="8" w:color="auto"/>
              <w:bottom w:val="single" w:sz="8" w:color="auto"/>
            </w:tcBorders>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shd w:val="clear" w:color="auto" w:fill="DBDBDB"/>
          </w:tcPr>
          <w:p>
            <w:pPr>
              <w:spacing w:after="0"/>
              <w:rPr>
                <w:sz w:val="15"/>
                <w:szCs w:val="15"/>
                <w:color w:val="auto"/>
              </w:rPr>
            </w:pPr>
          </w:p>
        </w:tc>
        <w:tc>
          <w:tcPr>
            <w:tcW w:w="340" w:type="dxa"/>
            <w:vAlign w:val="bottom"/>
            <w:tcBorders>
              <w:top w:val="single" w:sz="8" w:color="auto"/>
              <w:bottom w:val="single" w:sz="8" w:color="auto"/>
            </w:tcBorders>
            <w:shd w:val="clear" w:color="auto" w:fill="DBDBDB"/>
          </w:tcPr>
          <w:p>
            <w:pPr>
              <w:spacing w:after="0"/>
              <w:rPr>
                <w:sz w:val="15"/>
                <w:szCs w:val="15"/>
                <w:color w:val="auto"/>
              </w:rPr>
            </w:pPr>
          </w:p>
        </w:tc>
        <w:tc>
          <w:tcPr>
            <w:tcW w:w="1160" w:type="dxa"/>
            <w:vAlign w:val="bottom"/>
            <w:tcBorders>
              <w:top w:val="single" w:sz="8" w:color="auto"/>
              <w:bottom w:val="single" w:sz="8" w:color="auto"/>
            </w:tcBorders>
            <w:shd w:val="clear" w:color="auto" w:fill="DBDBDB"/>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DBDBDB"/>
              <w:bottom w:val="single" w:sz="8" w:color="auto"/>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1240" w:type="dxa"/>
            <w:vAlign w:val="bottom"/>
            <w:tcBorders>
              <w:top w:val="single" w:sz="8" w:color="auto"/>
              <w:bottom w:val="single" w:sz="8" w:color="auto"/>
            </w:tcBorders>
            <w:shd w:val="clear" w:color="auto" w:fill="DBDBDB"/>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shd w:val="clear" w:color="auto" w:fill="DBDBDB"/>
          </w:tcPr>
          <w:p>
            <w:pPr>
              <w:spacing w:after="0"/>
              <w:rPr>
                <w:sz w:val="15"/>
                <w:szCs w:val="15"/>
                <w:color w:val="auto"/>
              </w:rPr>
            </w:pPr>
          </w:p>
        </w:tc>
        <w:tc>
          <w:tcPr>
            <w:tcW w:w="340" w:type="dxa"/>
            <w:vAlign w:val="bottom"/>
            <w:tcBorders>
              <w:top w:val="single" w:sz="8" w:color="auto"/>
              <w:bottom w:val="single" w:sz="8" w:color="auto"/>
            </w:tcBorders>
            <w:shd w:val="clear" w:color="auto" w:fill="DBDBDB"/>
          </w:tcPr>
          <w:p>
            <w:pPr>
              <w:spacing w:after="0"/>
              <w:rPr>
                <w:sz w:val="15"/>
                <w:szCs w:val="15"/>
                <w:color w:val="auto"/>
              </w:rPr>
            </w:pPr>
          </w:p>
        </w:tc>
        <w:tc>
          <w:tcPr>
            <w:tcW w:w="1160" w:type="dxa"/>
            <w:vAlign w:val="bottom"/>
            <w:tcBorders>
              <w:top w:val="single" w:sz="8" w:color="auto"/>
              <w:bottom w:val="single" w:sz="8" w:color="auto"/>
            </w:tcBorders>
            <w:shd w:val="clear" w:color="auto" w:fill="DBDBDB"/>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Site rental</w:t>
            </w:r>
          </w:p>
        </w:tc>
        <w:tc>
          <w:tcPr>
            <w:tcW w:w="280" w:type="dxa"/>
            <w:vAlign w:val="bottom"/>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6,532</w:t>
            </w:r>
          </w:p>
        </w:tc>
      </w:tr>
      <w:tr>
        <w:trPr>
          <w:trHeight w:val="187"/>
        </w:trPr>
        <w:tc>
          <w:tcPr>
            <w:tcW w:w="4960" w:type="dxa"/>
            <w:vAlign w:val="bottom"/>
            <w:tcBorders>
              <w:bottom w:val="single" w:sz="8" w:color="DBE5F1"/>
            </w:tcBorders>
          </w:tcPr>
          <w:p>
            <w:pPr>
              <w:ind w:left="180"/>
              <w:spacing w:after="0"/>
              <w:rPr>
                <w:sz w:val="20"/>
                <w:szCs w:val="20"/>
                <w:color w:val="auto"/>
              </w:rPr>
            </w:pPr>
            <w:r>
              <w:rPr>
                <w:rFonts w:ascii="Times New Roman" w:cs="Times New Roman" w:eastAsia="Times New Roman" w:hAnsi="Times New Roman"/>
                <w:sz w:val="14"/>
                <w:szCs w:val="14"/>
                <w:color w:val="auto"/>
              </w:rPr>
              <w:t>Services and other</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3"/>
        </w:trPr>
        <w:tc>
          <w:tcPr>
            <w:tcW w:w="4960" w:type="dxa"/>
            <w:vAlign w:val="bottom"/>
            <w:shd w:val="clear" w:color="auto" w:fill="DBE5F1"/>
          </w:tcPr>
          <w:p>
            <w:pPr>
              <w:ind w:left="480"/>
              <w:spacing w:after="0"/>
              <w:rPr>
                <w:sz w:val="20"/>
                <w:szCs w:val="20"/>
                <w:color w:val="auto"/>
              </w:rPr>
            </w:pPr>
            <w:r>
              <w:rPr>
                <w:rFonts w:ascii="Times New Roman" w:cs="Times New Roman" w:eastAsia="Times New Roman" w:hAnsi="Times New Roman"/>
                <w:sz w:val="14"/>
                <w:szCs w:val="14"/>
                <w:color w:val="auto"/>
              </w:rPr>
              <w:t>Net revenues</w:t>
            </w:r>
          </w:p>
        </w:tc>
        <w:tc>
          <w:tcPr>
            <w:tcW w:w="280" w:type="dxa"/>
            <w:vAlign w:val="bottom"/>
            <w:shd w:val="clear" w:color="auto" w:fill="DBE5F1"/>
          </w:tcPr>
          <w:p>
            <w:pPr>
              <w:spacing w:after="0"/>
              <w:rPr>
                <w:sz w:val="15"/>
                <w:szCs w:val="15"/>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10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6,981</w:t>
            </w:r>
          </w:p>
        </w:tc>
      </w:tr>
      <w:tr>
        <w:trPr>
          <w:trHeight w:val="18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4960" w:type="dxa"/>
            <w:vAlign w:val="bottom"/>
            <w:shd w:val="clear" w:color="auto" w:fill="DBE5F1"/>
          </w:tcPr>
          <w:p>
            <w:pPr>
              <w:ind w:left="180"/>
              <w:spacing w:after="0" w:line="192" w:lineRule="exact"/>
              <w:rPr>
                <w:sz w:val="20"/>
                <w:szCs w:val="20"/>
                <w:color w:val="auto"/>
              </w:rPr>
            </w:pPr>
            <w:r>
              <w:rPr>
                <w:rFonts w:ascii="Times New Roman" w:cs="Times New Roman" w:eastAsia="Times New Roman" w:hAnsi="Times New Roman"/>
                <w:sz w:val="14"/>
                <w:szCs w:val="14"/>
                <w:color w:val="auto"/>
              </w:rPr>
              <w:t>Costs of operations:</w:t>
            </w:r>
            <w:r>
              <w:rPr>
                <w:rFonts w:ascii="Times New Roman" w:cs="Times New Roman" w:eastAsia="Times New Roman" w:hAnsi="Times New Roman"/>
                <w:sz w:val="18"/>
                <w:szCs w:val="18"/>
                <w:color w:val="auto"/>
                <w:vertAlign w:val="superscript"/>
              </w:rPr>
              <w:t>(a)</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r>
      <w:tr>
        <w:trPr>
          <w:trHeight w:val="187"/>
        </w:trPr>
        <w:tc>
          <w:tcPr>
            <w:tcW w:w="49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Site rental</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w:t>
            </w:r>
          </w:p>
        </w:tc>
      </w:tr>
      <w:tr>
        <w:trPr>
          <w:trHeight w:val="192"/>
        </w:trPr>
        <w:tc>
          <w:tcPr>
            <w:tcW w:w="49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Services and other</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187"/>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Asset write-down charges</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7"/>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2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187"/>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charges</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26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4960" w:type="dxa"/>
            <w:vAlign w:val="bottom"/>
            <w:tcBorders>
              <w:bottom w:val="single" w:sz="8" w:color="DBE5F1"/>
            </w:tcBorders>
          </w:tcPr>
          <w:p>
            <w:pPr>
              <w:ind w:left="4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100" w:type="dxa"/>
            <w:vAlign w:val="bottom"/>
            <w:tcBorders>
              <w:bottom w:val="single" w:sz="8" w:color="DBE5F1"/>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00" w:type="dxa"/>
            <w:vAlign w:val="bottom"/>
            <w:tcBorders>
              <w:bottom w:val="single" w:sz="8" w:color="DBE5F1"/>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9,506</w:t>
            </w:r>
          </w:p>
        </w:tc>
        <w:tc>
          <w:tcPr>
            <w:tcW w:w="100" w:type="dxa"/>
            <w:vAlign w:val="bottom"/>
            <w:tcBorders>
              <w:bottom w:val="single" w:sz="8" w:color="DBE5F1"/>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4,612</w:t>
            </w:r>
          </w:p>
        </w:tc>
      </w:tr>
      <w:tr>
        <w:trPr>
          <w:trHeight w:val="183"/>
        </w:trPr>
        <w:tc>
          <w:tcPr>
            <w:tcW w:w="49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80" w:type="dxa"/>
            <w:vAlign w:val="bottom"/>
            <w:shd w:val="clear" w:color="auto" w:fill="DBE5F1"/>
          </w:tcPr>
          <w:p>
            <w:pPr>
              <w:spacing w:after="0"/>
              <w:rPr>
                <w:sz w:val="15"/>
                <w:szCs w:val="15"/>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2,369</w:t>
            </w:r>
          </w:p>
        </w:tc>
      </w:tr>
      <w:tr>
        <w:trPr>
          <w:trHeight w:val="18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and amortization of deferred financing costs, net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92"/>
        </w:trPr>
        <w:tc>
          <w:tcPr>
            <w:tcW w:w="49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496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3"/>
        </w:trPr>
        <w:tc>
          <w:tcPr>
            <w:tcW w:w="49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80" w:type="dxa"/>
            <w:vAlign w:val="bottom"/>
            <w:shd w:val="clear" w:color="auto" w:fill="DBE5F1"/>
          </w:tcPr>
          <w:p>
            <w:pPr>
              <w:spacing w:after="0"/>
              <w:rPr>
                <w:sz w:val="15"/>
                <w:szCs w:val="15"/>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1,528</w:t>
            </w:r>
          </w:p>
        </w:tc>
      </w:tr>
      <w:tr>
        <w:trPr>
          <w:trHeight w:val="187"/>
        </w:trPr>
        <w:tc>
          <w:tcPr>
            <w:tcW w:w="496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5"/>
        </w:trPr>
        <w:tc>
          <w:tcPr>
            <w:tcW w:w="4960" w:type="dxa"/>
            <w:vAlign w:val="bottom"/>
            <w:tcBorders>
              <w:bottom w:val="single" w:sz="8" w:color="DBE5F1"/>
            </w:tcBorders>
            <w:shd w:val="clear" w:color="auto" w:fill="DBE5F1"/>
          </w:tcPr>
          <w:p>
            <w:pPr>
              <w:ind w:left="20"/>
              <w:spacing w:after="0" w:line="160" w:lineRule="exact"/>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Borders>
              <w:bottom w:val="single" w:sz="8" w:color="auto"/>
            </w:tcBorders>
            <w:shd w:val="clear" w:color="auto" w:fill="DBE5F1"/>
          </w:tcPr>
          <w:p>
            <w:pPr>
              <w:jc w:val="right"/>
              <w:ind w:right="129"/>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DBE5F1"/>
          </w:tcPr>
          <w:p>
            <w:pPr>
              <w:jc w:val="right"/>
              <w:spacing w:after="0" w:line="160" w:lineRule="exact"/>
              <w:rPr>
                <w:sz w:val="20"/>
                <w:szCs w:val="20"/>
                <w:color w:val="auto"/>
              </w:rPr>
            </w:pPr>
            <w:r>
              <w:rPr>
                <w:rFonts w:ascii="Times New Roman" w:cs="Times New Roman" w:eastAsia="Times New Roman" w:hAnsi="Times New Roman"/>
                <w:sz w:val="14"/>
                <w:szCs w:val="14"/>
                <w:color w:val="auto"/>
              </w:rPr>
              <w:t>(4,768)</w:t>
            </w:r>
          </w:p>
        </w:tc>
        <w:tc>
          <w:tcPr>
            <w:tcW w:w="100" w:type="dxa"/>
            <w:vAlign w:val="bottom"/>
            <w:tcBorders>
              <w:bottom w:val="single" w:sz="8" w:color="DBE5F1"/>
            </w:tcBorders>
            <w:shd w:val="clear" w:color="auto" w:fill="DBE5F1"/>
          </w:tcPr>
          <w:p>
            <w:pPr>
              <w:spacing w:after="0"/>
              <w:rPr>
                <w:sz w:val="15"/>
                <w:szCs w:val="15"/>
                <w:color w:val="auto"/>
              </w:rPr>
            </w:pPr>
          </w:p>
        </w:tc>
        <w:tc>
          <w:tcPr>
            <w:tcW w:w="340" w:type="dxa"/>
            <w:vAlign w:val="bottom"/>
            <w:tcBorders>
              <w:bottom w:val="single" w:sz="8" w:color="auto"/>
            </w:tcBorders>
            <w:shd w:val="clear" w:color="auto" w:fill="DBE5F1"/>
          </w:tcPr>
          <w:p>
            <w:pPr>
              <w:jc w:val="right"/>
              <w:ind w:right="189"/>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E5F1"/>
          </w:tcPr>
          <w:p>
            <w:pPr>
              <w:jc w:val="right"/>
              <w:spacing w:after="0" w:line="160" w:lineRule="exact"/>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DBE5F1"/>
            </w:tcBorders>
            <w:shd w:val="clear" w:color="auto" w:fill="DBE5F1"/>
          </w:tcPr>
          <w:p>
            <w:pPr>
              <w:spacing w:after="0"/>
              <w:rPr>
                <w:sz w:val="15"/>
                <w:szCs w:val="15"/>
                <w:color w:val="auto"/>
              </w:rPr>
            </w:pPr>
          </w:p>
        </w:tc>
        <w:tc>
          <w:tcPr>
            <w:tcW w:w="260" w:type="dxa"/>
            <w:vAlign w:val="bottom"/>
            <w:tcBorders>
              <w:bottom w:val="single" w:sz="8" w:color="auto"/>
            </w:tcBorders>
            <w:shd w:val="clear" w:color="auto" w:fill="DBE5F1"/>
          </w:tcPr>
          <w:p>
            <w:pPr>
              <w:jc w:val="right"/>
              <w:ind w:right="109"/>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DBE5F1"/>
          </w:tcPr>
          <w:p>
            <w:pPr>
              <w:jc w:val="right"/>
              <w:spacing w:after="0" w:line="160" w:lineRule="exact"/>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bottom w:val="single" w:sz="8" w:color="DBE5F1"/>
            </w:tcBorders>
            <w:shd w:val="clear" w:color="auto" w:fill="DBE5F1"/>
          </w:tcPr>
          <w:p>
            <w:pPr>
              <w:spacing w:after="0"/>
              <w:rPr>
                <w:sz w:val="15"/>
                <w:szCs w:val="15"/>
                <w:color w:val="auto"/>
              </w:rPr>
            </w:pPr>
          </w:p>
        </w:tc>
        <w:tc>
          <w:tcPr>
            <w:tcW w:w="340" w:type="dxa"/>
            <w:vAlign w:val="bottom"/>
            <w:tcBorders>
              <w:bottom w:val="single" w:sz="8" w:color="auto"/>
            </w:tcBorders>
            <w:shd w:val="clear" w:color="auto" w:fill="DBE5F1"/>
          </w:tcPr>
          <w:p>
            <w:pPr>
              <w:jc w:val="right"/>
              <w:ind w:right="189"/>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DBE5F1"/>
          </w:tcPr>
          <w:p>
            <w:pPr>
              <w:jc w:val="right"/>
              <w:spacing w:after="0" w:line="160" w:lineRule="exact"/>
              <w:rPr>
                <w:sz w:val="20"/>
                <w:szCs w:val="20"/>
                <w:color w:val="auto"/>
              </w:rPr>
            </w:pPr>
            <w:r>
              <w:rPr>
                <w:rFonts w:ascii="Times New Roman" w:cs="Times New Roman" w:eastAsia="Times New Roman" w:hAnsi="Times New Roman"/>
                <w:sz w:val="14"/>
                <w:szCs w:val="14"/>
                <w:color w:val="auto"/>
              </w:rPr>
              <w:t>1,502</w:t>
            </w:r>
          </w:p>
        </w:tc>
      </w:tr>
      <w:tr>
        <w:trPr>
          <w:trHeight w:val="20"/>
        </w:trPr>
        <w:tc>
          <w:tcPr>
            <w:tcW w:w="496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122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340" w:type="dxa"/>
            <w:vAlign w:val="bottom"/>
            <w:tcBorders>
              <w:top w:val="single" w:sz="8" w:color="DBE5F1"/>
              <w:bottom w:val="single" w:sz="8" w:color="auto"/>
            </w:tcBorders>
          </w:tcPr>
          <w:p>
            <w:pPr>
              <w:spacing w:after="0" w:line="20" w:lineRule="exact"/>
              <w:rPr>
                <w:sz w:val="1"/>
                <w:szCs w:val="1"/>
                <w:color w:val="auto"/>
              </w:rPr>
            </w:pPr>
          </w:p>
        </w:tc>
        <w:tc>
          <w:tcPr>
            <w:tcW w:w="11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DBE5F1"/>
              <w:bottom w:val="single" w:sz="8" w:color="auto"/>
            </w:tcBorders>
          </w:tcPr>
          <w:p>
            <w:pPr>
              <w:spacing w:after="0" w:line="20" w:lineRule="exact"/>
              <w:rPr>
                <w:sz w:val="1"/>
                <w:szCs w:val="1"/>
                <w:color w:val="auto"/>
              </w:rPr>
            </w:pPr>
          </w:p>
        </w:tc>
        <w:tc>
          <w:tcPr>
            <w:tcW w:w="12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340" w:type="dxa"/>
            <w:vAlign w:val="bottom"/>
            <w:tcBorders>
              <w:top w:val="single" w:sz="8" w:color="DBE5F1"/>
              <w:bottom w:val="single" w:sz="8" w:color="auto"/>
            </w:tcBorders>
          </w:tcPr>
          <w:p>
            <w:pPr>
              <w:spacing w:after="0" w:line="20" w:lineRule="exact"/>
              <w:rPr>
                <w:sz w:val="1"/>
                <w:szCs w:val="1"/>
                <w:color w:val="auto"/>
              </w:rPr>
            </w:pPr>
          </w:p>
        </w:tc>
        <w:tc>
          <w:tcPr>
            <w:tcW w:w="1160" w:type="dxa"/>
            <w:vAlign w:val="bottom"/>
            <w:tcBorders>
              <w:top w:val="single" w:sz="8" w:color="DBE5F1"/>
              <w:bottom w:val="single" w:sz="8" w:color="auto"/>
            </w:tcBorders>
          </w:tcPr>
          <w:p>
            <w:pPr>
              <w:spacing w:after="0" w:line="20" w:lineRule="exact"/>
              <w:rPr>
                <w:sz w:val="1"/>
                <w:szCs w:val="1"/>
                <w:color w:val="auto"/>
              </w:rPr>
            </w:pPr>
          </w:p>
        </w:tc>
      </w:tr>
      <w:tr>
        <w:trPr>
          <w:trHeight w:val="121"/>
        </w:trPr>
        <w:tc>
          <w:tcPr>
            <w:tcW w:w="4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89"/>
        </w:trPr>
        <w:tc>
          <w:tcPr>
            <w:tcW w:w="49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r>
      <w:tr>
        <w:trPr>
          <w:trHeight w:val="187"/>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10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187"/>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49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DBE5F1"/>
          </w:tcPr>
          <w:p>
            <w:pPr>
              <w:spacing w:after="0"/>
              <w:rPr>
                <w:sz w:val="16"/>
                <w:szCs w:val="16"/>
                <w:color w:val="auto"/>
              </w:rPr>
            </w:pPr>
          </w:p>
        </w:tc>
        <w:tc>
          <w:tcPr>
            <w:tcW w:w="12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184"/>
        </w:trPr>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r>
    </w:tbl>
    <w:p>
      <w:pPr>
        <w:spacing w:after="0" w:line="210" w:lineRule="exact"/>
        <w:rPr>
          <w:sz w:val="20"/>
          <w:szCs w:val="20"/>
          <w:color w:val="auto"/>
        </w:rPr>
      </w:pPr>
    </w:p>
    <w:p>
      <w:pPr>
        <w:ind w:left="285" w:hanging="285"/>
        <w:spacing w:after="0"/>
        <w:tabs>
          <w:tab w:leader="none" w:pos="285"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65"/>
          </w:cols>
          <w:pgMar w:left="315" w:top="120" w:right="31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CASH FLOWS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Borders>
              <w:top w:val="single" w:sz="8" w:color="auto"/>
              <w:bottom w:val="single" w:sz="8" w:color="DDDDDD"/>
            </w:tcBorders>
            <w:shd w:val="clear" w:color="auto" w:fill="DDDDDD"/>
          </w:tcPr>
          <w:p>
            <w:pPr>
              <w:spacing w:after="0"/>
              <w:rPr>
                <w:sz w:val="16"/>
                <w:szCs w:val="16"/>
                <w:color w:val="auto"/>
              </w:rPr>
            </w:pPr>
          </w:p>
        </w:tc>
        <w:tc>
          <w:tcPr>
            <w:tcW w:w="260" w:type="dxa"/>
            <w:vAlign w:val="bottom"/>
            <w:tcBorders>
              <w:top w:val="single" w:sz="8" w:color="auto"/>
              <w:bottom w:val="single" w:sz="8" w:color="auto"/>
            </w:tcBorders>
            <w:shd w:val="clear" w:color="auto" w:fill="DDDDDD"/>
          </w:tcPr>
          <w:p>
            <w:pPr>
              <w:spacing w:after="0"/>
              <w:rPr>
                <w:sz w:val="16"/>
                <w:szCs w:val="16"/>
                <w:color w:val="auto"/>
              </w:rPr>
            </w:pPr>
          </w:p>
        </w:tc>
        <w:tc>
          <w:tcPr>
            <w:tcW w:w="2840" w:type="dxa"/>
            <w:vAlign w:val="bottom"/>
            <w:tcBorders>
              <w:top w:val="single" w:sz="8" w:color="auto"/>
              <w:bottom w:val="single" w:sz="8" w:color="auto"/>
            </w:tcBorders>
            <w:gridSpan w:val="4"/>
            <w:shd w:val="clear" w:color="auto" w:fill="DDDDDD"/>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80"/>
        </w:trPr>
        <w:tc>
          <w:tcPr>
            <w:tcW w:w="8140" w:type="dxa"/>
            <w:vAlign w:val="bottom"/>
            <w:tcBorders>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60" w:type="dxa"/>
            <w:vAlign w:val="bottom"/>
            <w:tcBorders>
              <w:bottom w:val="single" w:sz="8" w:color="auto"/>
            </w:tcBorders>
            <w:shd w:val="clear" w:color="auto" w:fill="DDDDDD"/>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2"/>
        </w:trPr>
        <w:tc>
          <w:tcPr>
            <w:tcW w:w="8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1,502</w:t>
            </w:r>
          </w:p>
        </w:tc>
      </w:tr>
      <w:tr>
        <w:trPr>
          <w:trHeight w:val="187"/>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for) operating activities: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1,754</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Goodwill impairment charges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 and other non-cash interest</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Asset write-down charges</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income tax (benefit) provision</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Restructuring charges, non-cash</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non-cash adjustments, net</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Changes in assets and liabilities, excluding the effects of acquisitions:</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spacing w:after="0"/>
              <w:rPr>
                <w:sz w:val="16"/>
                <w:szCs w:val="16"/>
                <w:color w:val="auto"/>
              </w:rPr>
            </w:pPr>
          </w:p>
        </w:tc>
      </w:tr>
      <w:tr>
        <w:trPr>
          <w:trHeight w:val="187"/>
        </w:trPr>
        <w:tc>
          <w:tcPr>
            <w:tcW w:w="81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Increase (decrease) in liabilities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192"/>
        </w:trPr>
        <w:tc>
          <w:tcPr>
            <w:tcW w:w="8140" w:type="dxa"/>
            <w:vAlign w:val="bottom"/>
            <w:shd w:val="clear" w:color="auto" w:fill="DBE5F1"/>
          </w:tcPr>
          <w:p>
            <w:pPr>
              <w:ind w:left="420"/>
              <w:spacing w:after="0"/>
              <w:rPr>
                <w:sz w:val="20"/>
                <w:szCs w:val="20"/>
                <w:color w:val="auto"/>
              </w:rPr>
            </w:pPr>
            <w:r>
              <w:rPr>
                <w:rFonts w:ascii="Times New Roman" w:cs="Times New Roman" w:eastAsia="Times New Roman" w:hAnsi="Times New Roman"/>
                <w:sz w:val="14"/>
                <w:szCs w:val="14"/>
                <w:color w:val="auto"/>
              </w:rPr>
              <w:t>Decrease (increase) in assets</w:t>
            </w:r>
          </w:p>
        </w:tc>
        <w:tc>
          <w:tcPr>
            <w:tcW w:w="260" w:type="dxa"/>
            <w:vAlign w:val="bottom"/>
            <w:tcBorders>
              <w:bottom w:val="single" w:sz="8" w:color="auto"/>
            </w:tcBorders>
            <w:shd w:val="clear" w:color="auto" w:fill="DBE5F1"/>
          </w:tcPr>
          <w:p>
            <w:pPr>
              <w:spacing w:after="0"/>
              <w:rPr>
                <w:sz w:val="16"/>
                <w:szCs w:val="16"/>
                <w:color w:val="auto"/>
              </w:rPr>
            </w:pPr>
          </w:p>
        </w:tc>
        <w:tc>
          <w:tcPr>
            <w:tcW w:w="1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spacing w:after="0"/>
              <w:rPr>
                <w:sz w:val="16"/>
                <w:szCs w:val="16"/>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79"/>
        </w:trPr>
        <w:tc>
          <w:tcPr>
            <w:tcW w:w="8140" w:type="dxa"/>
            <w:vAlign w:val="bottom"/>
            <w:tcBorders>
              <w:bottom w:val="single" w:sz="8" w:color="DBE5F1"/>
            </w:tcBorders>
          </w:tcPr>
          <w:p>
            <w:pPr>
              <w:ind w:left="580"/>
              <w:spacing w:after="0"/>
              <w:rPr>
                <w:sz w:val="20"/>
                <w:szCs w:val="20"/>
                <w:color w:val="auto"/>
              </w:rPr>
            </w:pPr>
            <w:r>
              <w:rPr>
                <w:rFonts w:ascii="Times New Roman" w:cs="Times New Roman" w:eastAsia="Times New Roman" w:hAnsi="Times New Roman"/>
                <w:sz w:val="14"/>
                <w:szCs w:val="14"/>
                <w:color w:val="auto"/>
              </w:rPr>
              <w:t>Net cash provided by (used for) operating activities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00" w:type="dxa"/>
            <w:vAlign w:val="bottom"/>
            <w:tcBorders>
              <w:bottom w:val="single" w:sz="8" w:color="DBE5F1"/>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w:t>
            </w:r>
          </w:p>
        </w:tc>
      </w:tr>
      <w:tr>
        <w:trPr>
          <w:trHeight w:val="172"/>
        </w:trPr>
        <w:tc>
          <w:tcPr>
            <w:tcW w:w="8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DBE5F1"/>
          </w:tcPr>
          <w:p>
            <w:pPr>
              <w:spacing w:after="0"/>
              <w:rPr>
                <w:sz w:val="14"/>
                <w:szCs w:val="14"/>
                <w:color w:val="auto"/>
              </w:rPr>
            </w:pPr>
          </w:p>
        </w:tc>
        <w:tc>
          <w:tcPr>
            <w:tcW w:w="124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4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7"/>
        </w:trPr>
        <w:tc>
          <w:tcPr>
            <w:tcW w:w="8140" w:type="dxa"/>
            <w:vAlign w:val="bottom"/>
            <w:tcBorders>
              <w:bottom w:val="single" w:sz="8" w:color="DBE5F1"/>
            </w:tcBorders>
          </w:tcPr>
          <w:p>
            <w:pPr>
              <w:ind w:left="20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3"/>
        </w:trPr>
        <w:tc>
          <w:tcPr>
            <w:tcW w:w="8140" w:type="dxa"/>
            <w:vAlign w:val="bottom"/>
            <w:shd w:val="clear" w:color="auto" w:fill="DBE5F1"/>
          </w:tcPr>
          <w:p>
            <w:pPr>
              <w:ind w:left="580"/>
              <w:spacing w:after="0"/>
              <w:rPr>
                <w:sz w:val="20"/>
                <w:szCs w:val="20"/>
                <w:color w:val="auto"/>
              </w:rPr>
            </w:pPr>
            <w:r>
              <w:rPr>
                <w:rFonts w:ascii="Times New Roman" w:cs="Times New Roman" w:eastAsia="Times New Roman" w:hAnsi="Times New Roman"/>
                <w:sz w:val="14"/>
                <w:szCs w:val="14"/>
                <w:color w:val="auto"/>
              </w:rPr>
              <w:t>Net cash provided by (used for) investing activities</w:t>
            </w:r>
          </w:p>
        </w:tc>
        <w:tc>
          <w:tcPr>
            <w:tcW w:w="260" w:type="dxa"/>
            <w:vAlign w:val="bottom"/>
            <w:tcBorders>
              <w:bottom w:val="single" w:sz="8" w:color="auto"/>
            </w:tcBorders>
            <w:shd w:val="clear" w:color="auto" w:fill="DBE5F1"/>
          </w:tcPr>
          <w:p>
            <w:pPr>
              <w:spacing w:after="0"/>
              <w:rPr>
                <w:sz w:val="15"/>
                <w:szCs w:val="15"/>
                <w:color w:val="auto"/>
              </w:rPr>
            </w:pPr>
          </w:p>
        </w:tc>
        <w:tc>
          <w:tcPr>
            <w:tcW w:w="1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shd w:val="clear" w:color="auto" w:fill="DBE5F1"/>
          </w:tcPr>
          <w:p>
            <w:pPr>
              <w:spacing w:after="0"/>
              <w:rPr>
                <w:sz w:val="15"/>
                <w:szCs w:val="15"/>
                <w:color w:val="auto"/>
              </w:rPr>
            </w:pPr>
          </w:p>
        </w:tc>
        <w:tc>
          <w:tcPr>
            <w:tcW w:w="340" w:type="dxa"/>
            <w:vAlign w:val="bottom"/>
            <w:tcBorders>
              <w:bottom w:val="single" w:sz="8" w:color="auto"/>
            </w:tcBorders>
            <w:shd w:val="clear" w:color="auto" w:fill="DBE5F1"/>
          </w:tcPr>
          <w:p>
            <w:pPr>
              <w:spacing w:after="0"/>
              <w:rPr>
                <w:sz w:val="15"/>
                <w:szCs w:val="15"/>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(1,519)</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3,843</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Principal payments on debt and other long-term obligations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Purchases and redemptions of long-term debt</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26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Payments under revolving credit facility</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(4,248)</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borrowings (repayments) under commercial paper program</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Dividends/distributions paid on common stock</w:t>
            </w:r>
          </w:p>
        </w:tc>
        <w:tc>
          <w:tcPr>
            <w:tcW w:w="260" w:type="dxa"/>
            <w:vAlign w:val="bottom"/>
            <w:tcBorders>
              <w:bottom w:val="single" w:sz="8" w:color="auto"/>
            </w:tcBorders>
            <w:shd w:val="clear" w:color="auto" w:fill="DBE5F1"/>
          </w:tcPr>
          <w:p>
            <w:pPr>
              <w:spacing w:after="0"/>
              <w:rPr>
                <w:sz w:val="16"/>
                <w:szCs w:val="16"/>
                <w:color w:val="auto"/>
              </w:rPr>
            </w:pPr>
          </w:p>
        </w:tc>
        <w:tc>
          <w:tcPr>
            <w:tcW w:w="1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DBE5F1"/>
          </w:tcPr>
          <w:p>
            <w:pPr>
              <w:spacing w:after="0"/>
              <w:rPr>
                <w:sz w:val="16"/>
                <w:szCs w:val="16"/>
                <w:color w:val="auto"/>
              </w:rPr>
            </w:pPr>
          </w:p>
        </w:tc>
        <w:tc>
          <w:tcPr>
            <w:tcW w:w="340" w:type="dxa"/>
            <w:vAlign w:val="bottom"/>
            <w:tcBorders>
              <w:bottom w:val="single" w:sz="8" w:color="auto"/>
            </w:tcBorders>
            <w:shd w:val="clear" w:color="auto" w:fill="DBE5F1"/>
          </w:tcPr>
          <w:p>
            <w:pPr>
              <w:spacing w:after="0"/>
              <w:rPr>
                <w:sz w:val="16"/>
                <w:szCs w:val="16"/>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(2,723)</w:t>
            </w:r>
          </w:p>
        </w:tc>
      </w:tr>
      <w:tr>
        <w:trPr>
          <w:trHeight w:val="179"/>
        </w:trPr>
        <w:tc>
          <w:tcPr>
            <w:tcW w:w="8140" w:type="dxa"/>
            <w:vAlign w:val="bottom"/>
            <w:tcBorders>
              <w:bottom w:val="single" w:sz="8" w:color="DBE5F1"/>
            </w:tcBorders>
          </w:tcPr>
          <w:p>
            <w:pPr>
              <w:ind w:left="580"/>
              <w:spacing w:after="0"/>
              <w:rPr>
                <w:sz w:val="20"/>
                <w:szCs w:val="20"/>
                <w:color w:val="auto"/>
              </w:rPr>
            </w:pPr>
            <w:r>
              <w:rPr>
                <w:rFonts w:ascii="Times New Roman" w:cs="Times New Roman" w:eastAsia="Times New Roman" w:hAnsi="Times New Roman"/>
                <w:sz w:val="14"/>
                <w:szCs w:val="14"/>
                <w:color w:val="auto"/>
              </w:rPr>
              <w:t>Net cash provided by (used for) financing activities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Borders>
              <w:bottom w:val="single" w:sz="8" w:color="DBE5F1"/>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w:t>
            </w:r>
          </w:p>
        </w:tc>
      </w:tr>
      <w:tr>
        <w:trPr>
          <w:trHeight w:val="183"/>
        </w:trPr>
        <w:tc>
          <w:tcPr>
            <w:tcW w:w="8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 and cash equivalents</w:t>
            </w:r>
          </w:p>
        </w:tc>
        <w:tc>
          <w:tcPr>
            <w:tcW w:w="260" w:type="dxa"/>
            <w:vAlign w:val="bottom"/>
            <w:shd w:val="clear" w:color="auto" w:fill="DBE5F1"/>
          </w:tcPr>
          <w:p>
            <w:pPr>
              <w:spacing w:after="0"/>
              <w:rPr>
                <w:sz w:val="15"/>
                <w:szCs w:val="15"/>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DBE5F1"/>
          </w:tcPr>
          <w:p>
            <w:pPr>
              <w:spacing w:after="0"/>
              <w:rPr>
                <w:sz w:val="15"/>
                <w:szCs w:val="15"/>
                <w:color w:val="auto"/>
              </w:rPr>
            </w:pPr>
          </w:p>
        </w:tc>
        <w:tc>
          <w:tcPr>
            <w:tcW w:w="340" w:type="dxa"/>
            <w:vAlign w:val="bottom"/>
            <w:shd w:val="clear" w:color="auto" w:fill="DBE5F1"/>
          </w:tcPr>
          <w:p>
            <w:pPr>
              <w:spacing w:after="0"/>
              <w:rPr>
                <w:sz w:val="15"/>
                <w:szCs w:val="15"/>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7"/>
        </w:trPr>
        <w:tc>
          <w:tcPr>
            <w:tcW w:w="814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DBE5F1"/>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1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at beginning of period</w:t>
            </w:r>
          </w:p>
        </w:tc>
        <w:tc>
          <w:tcPr>
            <w:tcW w:w="260" w:type="dxa"/>
            <w:vAlign w:val="bottom"/>
            <w:tcBorders>
              <w:bottom w:val="single" w:sz="8" w:color="auto"/>
            </w:tcBorders>
            <w:shd w:val="clear" w:color="auto" w:fill="DBE5F1"/>
          </w:tcPr>
          <w:p>
            <w:pPr>
              <w:spacing w:after="0"/>
              <w:rPr>
                <w:sz w:val="15"/>
                <w:szCs w:val="15"/>
                <w:color w:val="auto"/>
              </w:rPr>
            </w:pPr>
          </w:p>
        </w:tc>
        <w:tc>
          <w:tcPr>
            <w:tcW w:w="12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DBE5F1"/>
          </w:tcPr>
          <w:p>
            <w:pPr>
              <w:spacing w:after="0"/>
              <w:rPr>
                <w:sz w:val="15"/>
                <w:szCs w:val="15"/>
                <w:color w:val="auto"/>
              </w:rPr>
            </w:pPr>
          </w:p>
        </w:tc>
        <w:tc>
          <w:tcPr>
            <w:tcW w:w="340" w:type="dxa"/>
            <w:vAlign w:val="bottom"/>
            <w:tcBorders>
              <w:bottom w:val="single" w:sz="8" w:color="auto"/>
            </w:tcBorders>
            <w:shd w:val="clear" w:color="auto" w:fill="DBE5F1"/>
          </w:tcPr>
          <w:p>
            <w:pPr>
              <w:spacing w:after="0"/>
              <w:rPr>
                <w:sz w:val="15"/>
                <w:szCs w:val="15"/>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8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and cash equivalents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20"/>
        </w:trPr>
        <w:tc>
          <w:tcPr>
            <w:tcW w:w="8140" w:type="dxa"/>
            <w:vAlign w:val="bottom"/>
            <w:tcBorders>
              <w:bottom w:val="single" w:sz="8" w:color="DBE5F1"/>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3"/>
        </w:trPr>
        <w:tc>
          <w:tcPr>
            <w:tcW w:w="8140" w:type="dxa"/>
            <w:vAlign w:val="bottom"/>
            <w:shd w:val="clear" w:color="auto" w:fill="DBE5F1"/>
          </w:tcPr>
          <w:p>
            <w:pPr>
              <w:ind w:left="20"/>
              <w:spacing w:after="0" w:line="153"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60" w:type="dxa"/>
            <w:vAlign w:val="bottom"/>
            <w:shd w:val="clear" w:color="auto" w:fill="DBE5F1"/>
          </w:tcPr>
          <w:p>
            <w:pPr>
              <w:spacing w:after="0"/>
              <w:rPr>
                <w:sz w:val="13"/>
                <w:szCs w:val="13"/>
                <w:color w:val="auto"/>
              </w:rPr>
            </w:pPr>
          </w:p>
        </w:tc>
        <w:tc>
          <w:tcPr>
            <w:tcW w:w="1240" w:type="dxa"/>
            <w:vAlign w:val="bottom"/>
            <w:shd w:val="clear" w:color="auto" w:fill="DBE5F1"/>
          </w:tcPr>
          <w:p>
            <w:pPr>
              <w:spacing w:after="0"/>
              <w:rPr>
                <w:sz w:val="13"/>
                <w:szCs w:val="13"/>
                <w:color w:val="auto"/>
              </w:rPr>
            </w:pPr>
          </w:p>
        </w:tc>
        <w:tc>
          <w:tcPr>
            <w:tcW w:w="100" w:type="dxa"/>
            <w:vAlign w:val="bottom"/>
            <w:shd w:val="clear" w:color="auto" w:fill="DBE5F1"/>
          </w:tcPr>
          <w:p>
            <w:pPr>
              <w:spacing w:after="0"/>
              <w:rPr>
                <w:sz w:val="13"/>
                <w:szCs w:val="13"/>
                <w:color w:val="auto"/>
              </w:rPr>
            </w:pPr>
          </w:p>
        </w:tc>
        <w:tc>
          <w:tcPr>
            <w:tcW w:w="340" w:type="dxa"/>
            <w:vAlign w:val="bottom"/>
            <w:shd w:val="clear" w:color="auto" w:fill="DBE5F1"/>
          </w:tcPr>
          <w:p>
            <w:pPr>
              <w:spacing w:after="0"/>
              <w:rPr>
                <w:sz w:val="13"/>
                <w:szCs w:val="13"/>
                <w:color w:val="auto"/>
              </w:rPr>
            </w:pPr>
          </w:p>
        </w:tc>
        <w:tc>
          <w:tcPr>
            <w:tcW w:w="1160" w:type="dxa"/>
            <w:vAlign w:val="bottom"/>
            <w:shd w:val="clear" w:color="auto" w:fill="DBE5F1"/>
          </w:tcPr>
          <w:p>
            <w:pPr>
              <w:spacing w:after="0"/>
              <w:rPr>
                <w:sz w:val="13"/>
                <w:szCs w:val="13"/>
                <w:color w:val="auto"/>
              </w:rPr>
            </w:pPr>
          </w:p>
        </w:tc>
      </w:tr>
      <w:tr>
        <w:trPr>
          <w:trHeight w:val="187"/>
        </w:trPr>
        <w:tc>
          <w:tcPr>
            <w:tcW w:w="8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92"/>
        </w:trPr>
        <w:tc>
          <w:tcPr>
            <w:tcW w:w="81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Income taxes paid (refunded)</w:t>
            </w:r>
          </w:p>
        </w:tc>
        <w:tc>
          <w:tcPr>
            <w:tcW w:w="260" w:type="dxa"/>
            <w:vAlign w:val="bottom"/>
            <w:shd w:val="clear" w:color="auto" w:fill="DBE5F1"/>
          </w:tcPr>
          <w:p>
            <w:pPr>
              <w:spacing w:after="0"/>
              <w:rPr>
                <w:sz w:val="16"/>
                <w:szCs w:val="16"/>
                <w:color w:val="auto"/>
              </w:rPr>
            </w:pPr>
          </w:p>
        </w:tc>
        <w:tc>
          <w:tcPr>
            <w:tcW w:w="12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DBE5F1"/>
          </w:tcPr>
          <w:p>
            <w:pPr>
              <w:spacing w:after="0"/>
              <w:rPr>
                <w:sz w:val="16"/>
                <w:szCs w:val="16"/>
                <w:color w:val="auto"/>
              </w:rPr>
            </w:pPr>
          </w:p>
        </w:tc>
        <w:tc>
          <w:tcPr>
            <w:tcW w:w="340" w:type="dxa"/>
            <w:vAlign w:val="bottom"/>
            <w:shd w:val="clear" w:color="auto" w:fill="DBE5F1"/>
          </w:tcPr>
          <w:p>
            <w:pPr>
              <w:spacing w:after="0"/>
              <w:rPr>
                <w:sz w:val="16"/>
                <w:szCs w:val="16"/>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60"/>
          </w:cols>
          <w:pgMar w:left="320" w:top="120" w:right="319" w:bottom="1440" w:gutter="0" w:footer="0" w:header="0"/>
        </w:sectPr>
      </w:pPr>
    </w:p>
    <w:bookmarkStart w:id="62" w:name="page63"/>
    <w:bookmarkEnd w:id="62"/>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415"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ind w:left="26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22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2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4"/>
              </w:rPr>
              <w:t>CONSOLIDATED</w:t>
            </w:r>
          </w:p>
        </w:tc>
        <w:tc>
          <w:tcPr>
            <w:tcW w:w="12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CAPITALIZATION</w:t>
            </w:r>
          </w:p>
        </w:tc>
        <w:tc>
          <w:tcPr>
            <w:tcW w:w="12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8"/>
              </w:rPr>
              <w:t>TOWERS</w:t>
            </w:r>
          </w:p>
        </w:tc>
        <w:tc>
          <w:tcPr>
            <w:tcW w:w="120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2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2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SEGMENT</w:t>
            </w:r>
          </w:p>
        </w:tc>
        <w:tc>
          <w:tcPr>
            <w:tcW w:w="12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SEGMENT OPERATING RESULTS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86"/>
        </w:trPr>
        <w:tc>
          <w:tcPr>
            <w:tcW w:w="3440" w:type="dxa"/>
            <w:vAlign w:val="bottom"/>
            <w:tcBorders>
              <w:top w:val="single" w:sz="8" w:color="auto"/>
              <w:bottom w:val="single" w:sz="8" w:color="DDDDDD"/>
            </w:tcBorders>
            <w:shd w:val="clear" w:color="auto" w:fill="DDDDDD"/>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3020" w:type="dxa"/>
            <w:vAlign w:val="bottom"/>
            <w:tcBorders>
              <w:top w:val="single" w:sz="8" w:color="auto"/>
              <w:bottom w:val="single" w:sz="8" w:color="auto"/>
            </w:tcBorders>
            <w:gridSpan w:val="7"/>
            <w:shd w:val="clear" w:color="auto" w:fill="DDDDDD"/>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640" w:type="dxa"/>
            <w:vAlign w:val="bottom"/>
            <w:tcBorders>
              <w:top w:val="single" w:sz="8" w:color="auto"/>
              <w:bottom w:val="single" w:sz="8" w:color="auto"/>
            </w:tcBorders>
            <w:shd w:val="clear" w:color="auto" w:fill="DDDDDD"/>
          </w:tcPr>
          <w:p>
            <w:pPr>
              <w:spacing w:after="0"/>
              <w:rPr>
                <w:sz w:val="16"/>
                <w:szCs w:val="16"/>
                <w:color w:val="auto"/>
              </w:rPr>
            </w:pPr>
          </w:p>
        </w:tc>
        <w:tc>
          <w:tcPr>
            <w:tcW w:w="100" w:type="dxa"/>
            <w:vAlign w:val="bottom"/>
            <w:tcBorders>
              <w:top w:val="single" w:sz="8" w:color="auto"/>
              <w:bottom w:val="single" w:sz="8" w:color="DDDDDD"/>
            </w:tcBorders>
            <w:shd w:val="clear" w:color="auto" w:fill="DDDDDD"/>
          </w:tcPr>
          <w:p>
            <w:pPr>
              <w:spacing w:after="0"/>
              <w:rPr>
                <w:sz w:val="16"/>
                <w:szCs w:val="16"/>
                <w:color w:val="auto"/>
              </w:rPr>
            </w:pPr>
          </w:p>
        </w:tc>
        <w:tc>
          <w:tcPr>
            <w:tcW w:w="140" w:type="dxa"/>
            <w:vAlign w:val="bottom"/>
            <w:tcBorders>
              <w:top w:val="single" w:sz="8" w:color="auto"/>
              <w:bottom w:val="single" w:sz="8" w:color="auto"/>
            </w:tcBorders>
            <w:shd w:val="clear" w:color="auto" w:fill="DDDDDD"/>
          </w:tcPr>
          <w:p>
            <w:pPr>
              <w:spacing w:after="0"/>
              <w:rPr>
                <w:sz w:val="16"/>
                <w:szCs w:val="16"/>
                <w:color w:val="auto"/>
              </w:rPr>
            </w:pPr>
          </w:p>
        </w:tc>
        <w:tc>
          <w:tcPr>
            <w:tcW w:w="3040" w:type="dxa"/>
            <w:vAlign w:val="bottom"/>
            <w:tcBorders>
              <w:top w:val="single" w:sz="8" w:color="auto"/>
              <w:bottom w:val="single" w:sz="8" w:color="auto"/>
            </w:tcBorders>
            <w:gridSpan w:val="7"/>
            <w:shd w:val="clear" w:color="auto" w:fill="DDDDDD"/>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640" w:type="dxa"/>
            <w:vAlign w:val="bottom"/>
            <w:tcBorders>
              <w:top w:val="single" w:sz="8" w:color="auto"/>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140" w:type="dxa"/>
            <w:vAlign w:val="bottom"/>
            <w:gridSpan w:val="2"/>
            <w:shd w:val="clear" w:color="auto" w:fill="DDDDDD"/>
          </w:tcPr>
          <w:p>
            <w:pPr>
              <w:jc w:val="center"/>
              <w:ind w:right="369"/>
              <w:spacing w:after="0" w:line="134"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4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140" w:type="dxa"/>
            <w:vAlign w:val="bottom"/>
            <w:gridSpan w:val="2"/>
            <w:shd w:val="clear" w:color="auto" w:fill="DDDDDD"/>
          </w:tcPr>
          <w:p>
            <w:pPr>
              <w:jc w:val="center"/>
              <w:ind w:right="369"/>
              <w:spacing w:after="0" w:line="134"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vMerge w:val="restart"/>
            <w:shd w:val="clear" w:color="auto" w:fill="DDDDDD"/>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shd w:val="clear" w:color="auto" w:fill="DDDDDD"/>
          </w:tcPr>
          <w:p>
            <w:pPr>
              <w:spacing w:after="0"/>
              <w:rPr>
                <w:sz w:val="12"/>
                <w:szCs w:val="12"/>
                <w:color w:val="auto"/>
              </w:rPr>
            </w:pPr>
          </w:p>
        </w:tc>
        <w:tc>
          <w:tcPr>
            <w:tcW w:w="820" w:type="dxa"/>
            <w:vAlign w:val="bottom"/>
            <w:gridSpan w:val="2"/>
            <w:vMerge w:val="restart"/>
            <w:shd w:val="clear" w:color="auto" w:fill="DDDDDD"/>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shd w:val="clear" w:color="auto" w:fill="DDDDDD"/>
          </w:tcPr>
          <w:p>
            <w:pPr>
              <w:spacing w:after="0"/>
              <w:rPr>
                <w:sz w:val="12"/>
                <w:szCs w:val="12"/>
                <w:color w:val="auto"/>
              </w:rPr>
            </w:pPr>
          </w:p>
        </w:tc>
        <w:tc>
          <w:tcPr>
            <w:tcW w:w="880" w:type="dxa"/>
            <w:vAlign w:val="bottom"/>
            <w:gridSpan w:val="2"/>
            <w:vMerge w:val="restart"/>
            <w:shd w:val="clear" w:color="auto" w:fill="DDDDDD"/>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40" w:type="dxa"/>
            <w:vAlign w:val="bottom"/>
            <w:gridSpan w:val="2"/>
            <w:shd w:val="clear" w:color="auto" w:fill="DDDDDD"/>
          </w:tcPr>
          <w:p>
            <w:pPr>
              <w:jc w:val="center"/>
              <w:ind w:right="349"/>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40" w:type="dxa"/>
            <w:vAlign w:val="bottom"/>
            <w:vMerge w:val="restart"/>
            <w:shd w:val="clear" w:color="auto" w:fill="DDDDDD"/>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DDDDDD"/>
          </w:tcPr>
          <w:p>
            <w:pPr>
              <w:spacing w:after="0"/>
              <w:rPr>
                <w:sz w:val="12"/>
                <w:szCs w:val="12"/>
                <w:color w:val="auto"/>
              </w:rPr>
            </w:pPr>
          </w:p>
        </w:tc>
        <w:tc>
          <w:tcPr>
            <w:tcW w:w="140" w:type="dxa"/>
            <w:vAlign w:val="bottom"/>
            <w:shd w:val="clear" w:color="auto" w:fill="DDDDDD"/>
          </w:tcPr>
          <w:p>
            <w:pPr>
              <w:spacing w:after="0"/>
              <w:rPr>
                <w:sz w:val="12"/>
                <w:szCs w:val="12"/>
                <w:color w:val="auto"/>
              </w:rPr>
            </w:pPr>
          </w:p>
        </w:tc>
        <w:tc>
          <w:tcPr>
            <w:tcW w:w="840" w:type="dxa"/>
            <w:vAlign w:val="bottom"/>
            <w:gridSpan w:val="2"/>
            <w:vMerge w:val="restart"/>
            <w:shd w:val="clear" w:color="auto" w:fill="DDDDDD"/>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shd w:val="clear" w:color="auto" w:fill="DDDDDD"/>
          </w:tcPr>
          <w:p>
            <w:pPr>
              <w:spacing w:after="0"/>
              <w:rPr>
                <w:sz w:val="12"/>
                <w:szCs w:val="12"/>
                <w:color w:val="auto"/>
              </w:rPr>
            </w:pPr>
          </w:p>
        </w:tc>
        <w:tc>
          <w:tcPr>
            <w:tcW w:w="880" w:type="dxa"/>
            <w:vAlign w:val="bottom"/>
            <w:gridSpan w:val="2"/>
            <w:vMerge w:val="restart"/>
            <w:shd w:val="clear" w:color="auto" w:fill="DDDDDD"/>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40" w:type="dxa"/>
            <w:vAlign w:val="bottom"/>
            <w:gridSpan w:val="2"/>
            <w:shd w:val="clear" w:color="auto" w:fill="DDDDDD"/>
          </w:tcPr>
          <w:p>
            <w:pPr>
              <w:jc w:val="center"/>
              <w:ind w:right="349"/>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40" w:type="dxa"/>
            <w:vAlign w:val="bottom"/>
            <w:vMerge w:val="restart"/>
            <w:shd w:val="clear" w:color="auto" w:fill="DDDDDD"/>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820" w:type="dxa"/>
            <w:vAlign w:val="bottom"/>
            <w:tcBorders>
              <w:bottom w:val="single" w:sz="8" w:color="auto"/>
            </w:tcBorders>
            <w:gridSpan w:val="2"/>
            <w:vMerge w:val="continue"/>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gridSpan w:val="2"/>
            <w:vMerge w:val="continue"/>
            <w:shd w:val="clear" w:color="auto" w:fill="DDDDDD"/>
          </w:tcPr>
          <w:p>
            <w:pPr>
              <w:spacing w:after="0"/>
              <w:rPr>
                <w:sz w:val="16"/>
                <w:szCs w:val="16"/>
                <w:color w:val="auto"/>
              </w:rPr>
            </w:pPr>
          </w:p>
        </w:tc>
        <w:tc>
          <w:tcPr>
            <w:tcW w:w="1140" w:type="dxa"/>
            <w:vAlign w:val="bottom"/>
            <w:tcBorders>
              <w:bottom w:val="single" w:sz="8" w:color="auto"/>
            </w:tcBorders>
            <w:gridSpan w:val="2"/>
            <w:shd w:val="clear" w:color="auto" w:fill="DDDDDD"/>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4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840" w:type="dxa"/>
            <w:vAlign w:val="bottom"/>
            <w:tcBorders>
              <w:bottom w:val="single" w:sz="8" w:color="auto"/>
            </w:tcBorders>
            <w:gridSpan w:val="2"/>
            <w:vMerge w:val="continue"/>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gridSpan w:val="2"/>
            <w:vMerge w:val="continue"/>
            <w:shd w:val="clear" w:color="auto" w:fill="DDDDDD"/>
          </w:tcPr>
          <w:p>
            <w:pPr>
              <w:spacing w:after="0"/>
              <w:rPr>
                <w:sz w:val="16"/>
                <w:szCs w:val="16"/>
                <w:color w:val="auto"/>
              </w:rPr>
            </w:pPr>
          </w:p>
        </w:tc>
        <w:tc>
          <w:tcPr>
            <w:tcW w:w="1140" w:type="dxa"/>
            <w:vAlign w:val="bottom"/>
            <w:tcBorders>
              <w:bottom w:val="single" w:sz="8" w:color="auto"/>
            </w:tcBorders>
            <w:gridSpan w:val="2"/>
            <w:shd w:val="clear" w:color="auto" w:fill="DDDDDD"/>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40" w:type="dxa"/>
            <w:vAlign w:val="bottom"/>
            <w:tcBorders>
              <w:bottom w:val="single" w:sz="8" w:color="auto"/>
            </w:tcBorders>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site rental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80" w:type="dxa"/>
            <w:vAlign w:val="bottom"/>
          </w:tcPr>
          <w:p>
            <w:pPr>
              <w:spacing w:after="0"/>
              <w:rPr>
                <w:sz w:val="15"/>
                <w:szCs w:val="15"/>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80" w:type="dxa"/>
            <w:vAlign w:val="bottom"/>
          </w:tcPr>
          <w:p>
            <w:pPr>
              <w:spacing w:after="0"/>
              <w:rPr>
                <w:sz w:val="15"/>
                <w:szCs w:val="15"/>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Segment services and 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60" w:type="dxa"/>
            <w:vAlign w:val="bottom"/>
            <w:tcBorders>
              <w:bottom w:val="single" w:sz="8" w:color="auto"/>
            </w:tcBorders>
            <w:shd w:val="clear" w:color="auto" w:fill="DBE5F1"/>
          </w:tcPr>
          <w:p>
            <w:pPr>
              <w:spacing w:after="0"/>
              <w:rPr>
                <w:sz w:val="16"/>
                <w:szCs w:val="16"/>
                <w:color w:val="auto"/>
              </w:rPr>
            </w:pP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DBE5F1"/>
          </w:tcPr>
          <w:p>
            <w:pPr>
              <w:spacing w:after="0"/>
              <w:rPr>
                <w:sz w:val="16"/>
                <w:szCs w:val="16"/>
                <w:color w:val="auto"/>
              </w:rPr>
            </w:pPr>
          </w:p>
        </w:tc>
        <w:tc>
          <w:tcPr>
            <w:tcW w:w="14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60" w:type="dxa"/>
            <w:vAlign w:val="bottom"/>
            <w:tcBorders>
              <w:bottom w:val="single" w:sz="8" w:color="auto"/>
            </w:tcBorders>
            <w:shd w:val="clear" w:color="auto" w:fill="DBE5F1"/>
          </w:tcPr>
          <w:p>
            <w:pPr>
              <w:spacing w:after="0"/>
              <w:rPr>
                <w:sz w:val="16"/>
                <w:szCs w:val="16"/>
                <w:color w:val="auto"/>
              </w:rPr>
            </w:pP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Borders>
              <w:bottom w:val="single" w:sz="8" w:color="DBE5F1"/>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tcBorders>
              <w:bottom w:val="single" w:sz="8" w:color="DBE5F1"/>
            </w:tcBorders>
          </w:tcPr>
          <w:p>
            <w:pPr>
              <w:spacing w:after="0"/>
              <w:rPr>
                <w:sz w:val="15"/>
                <w:szCs w:val="15"/>
                <w:color w:val="auto"/>
              </w:rPr>
            </w:pPr>
          </w:p>
        </w:tc>
        <w:tc>
          <w:tcPr>
            <w:tcW w:w="880" w:type="dxa"/>
            <w:vAlign w:val="bottom"/>
            <w:tcBorders>
              <w:bottom w:val="single" w:sz="8" w:color="DBE5F1"/>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Borders>
              <w:bottom w:val="single" w:sz="8" w:color="DBE5F1"/>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Borders>
              <w:bottom w:val="single" w:sz="8" w:color="DBE5F1"/>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80" w:type="dxa"/>
            <w:vAlign w:val="bottom"/>
            <w:tcBorders>
              <w:bottom w:val="single" w:sz="8" w:color="DBE5F1"/>
            </w:tcBorders>
          </w:tcPr>
          <w:p>
            <w:pPr>
              <w:spacing w:after="0"/>
              <w:rPr>
                <w:sz w:val="15"/>
                <w:szCs w:val="15"/>
                <w:color w:val="auto"/>
              </w:rPr>
            </w:pPr>
          </w:p>
        </w:tc>
        <w:tc>
          <w:tcPr>
            <w:tcW w:w="880" w:type="dxa"/>
            <w:vAlign w:val="bottom"/>
            <w:tcBorders>
              <w:bottom w:val="single" w:sz="8" w:color="DBE5F1"/>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0" w:type="dxa"/>
            <w:vAlign w:val="bottom"/>
          </w:tcPr>
          <w:p>
            <w:pPr>
              <w:spacing w:after="0"/>
              <w:rPr>
                <w:sz w:val="1"/>
                <w:szCs w:val="1"/>
                <w:color w:val="auto"/>
              </w:rPr>
            </w:pPr>
          </w:p>
        </w:tc>
      </w:tr>
      <w:tr>
        <w:trPr>
          <w:trHeight w:val="183"/>
        </w:trPr>
        <w:tc>
          <w:tcPr>
            <w:tcW w:w="34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Segment site rental costs of operations</w:t>
            </w: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DBE5F1"/>
            </w:tcBorders>
          </w:tcPr>
          <w:p>
            <w:pPr>
              <w:ind w:left="20"/>
              <w:spacing w:after="0"/>
              <w:rPr>
                <w:sz w:val="20"/>
                <w:szCs w:val="20"/>
                <w:color w:val="auto"/>
              </w:rPr>
            </w:pPr>
            <w:r>
              <w:rPr>
                <w:rFonts w:ascii="Times New Roman" w:cs="Times New Roman" w:eastAsia="Times New Roman" w:hAnsi="Times New Roman"/>
                <w:sz w:val="14"/>
                <w:szCs w:val="14"/>
                <w:color w:val="auto"/>
              </w:rPr>
              <w:t>Segment services and other costs of operations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3"/>
        </w:trPr>
        <w:tc>
          <w:tcPr>
            <w:tcW w:w="3440" w:type="dxa"/>
            <w:vAlign w:val="bottom"/>
            <w:shd w:val="clear" w:color="auto" w:fill="DBE5F1"/>
          </w:tcPr>
          <w:p>
            <w:pPr>
              <w:ind w:left="20"/>
              <w:spacing w:after="0" w:line="183" w:lineRule="exact"/>
              <w:rPr>
                <w:sz w:val="20"/>
                <w:szCs w:val="20"/>
                <w:color w:val="auto"/>
              </w:rPr>
            </w:pPr>
            <w:r>
              <w:rPr>
                <w:rFonts w:ascii="Times New Roman" w:cs="Times New Roman" w:eastAsia="Times New Roman" w:hAnsi="Times New Roman"/>
                <w:sz w:val="14"/>
                <w:szCs w:val="14"/>
                <w:color w:val="auto"/>
              </w:rPr>
              <w:t>Segment costs of operations</w:t>
            </w:r>
            <w:r>
              <w:rPr>
                <w:rFonts w:ascii="Times New Roman" w:cs="Times New Roman" w:eastAsia="Times New Roman" w:hAnsi="Times New Roman"/>
                <w:sz w:val="18"/>
                <w:szCs w:val="18"/>
                <w:color w:val="auto"/>
                <w:vertAlign w:val="superscript"/>
              </w:rPr>
              <w:t>(a)(b)</w:t>
            </w:r>
          </w:p>
        </w:tc>
        <w:tc>
          <w:tcPr>
            <w:tcW w:w="160" w:type="dxa"/>
            <w:vAlign w:val="bottom"/>
            <w:tcBorders>
              <w:bottom w:val="single" w:sz="8" w:color="auto"/>
            </w:tcBorders>
            <w:shd w:val="clear" w:color="auto" w:fill="DBE5F1"/>
          </w:tcPr>
          <w:p>
            <w:pPr>
              <w:spacing w:after="0"/>
              <w:rPr>
                <w:sz w:val="15"/>
                <w:szCs w:val="15"/>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tcBorders>
              <w:bottom w:val="single" w:sz="8" w:color="auto"/>
            </w:tcBorders>
            <w:shd w:val="clear" w:color="auto" w:fill="DBE5F1"/>
          </w:tcPr>
          <w:p>
            <w:pPr>
              <w:spacing w:after="0"/>
              <w:rPr>
                <w:sz w:val="15"/>
                <w:szCs w:val="15"/>
                <w:color w:val="auto"/>
              </w:rPr>
            </w:pP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tcBorders>
              <w:bottom w:val="single" w:sz="8" w:color="auto"/>
            </w:tcBorders>
            <w:shd w:val="clear" w:color="auto" w:fill="DBE5F1"/>
          </w:tcPr>
          <w:p>
            <w:pPr>
              <w:spacing w:after="0"/>
              <w:rPr>
                <w:sz w:val="15"/>
                <w:szCs w:val="15"/>
                <w:color w:val="auto"/>
              </w:rPr>
            </w:pP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1"/>
        </w:trPr>
        <w:tc>
          <w:tcPr>
            <w:tcW w:w="34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(c)</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89"/>
        </w:trPr>
        <w:tc>
          <w:tcPr>
            <w:tcW w:w="344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tcPr>
          <w:p>
            <w:pPr>
              <w:ind w:left="20"/>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1"/>
        </w:trPr>
        <w:tc>
          <w:tcPr>
            <w:tcW w:w="3440" w:type="dxa"/>
            <w:vAlign w:val="bottom"/>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shd w:val="clear" w:color="auto" w:fill="DBE5F1"/>
          </w:tcPr>
          <w:p>
            <w:pPr>
              <w:spacing w:after="0"/>
              <w:rPr>
                <w:sz w:val="15"/>
                <w:szCs w:val="15"/>
                <w:color w:val="auto"/>
              </w:rPr>
            </w:pPr>
          </w:p>
        </w:tc>
        <w:tc>
          <w:tcPr>
            <w:tcW w:w="14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Other selling, general and administrative expenses</w:t>
            </w:r>
            <w:r>
              <w:rPr>
                <w:rFonts w:ascii="Times New Roman" w:cs="Times New Roman" w:eastAsia="Times New Roman" w:hAnsi="Times New Roman"/>
                <w:sz w:val="18"/>
                <w:szCs w:val="18"/>
                <w:color w:val="auto"/>
                <w:vertAlign w:val="superscript"/>
              </w:rPr>
              <w:t>(b)</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89"/>
        </w:trPr>
        <w:tc>
          <w:tcPr>
            <w:tcW w:w="34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7"/>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437</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439</w:t>
            </w: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3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expense and amortization of deferred financing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240</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223</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87"/>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costs, net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(e)</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4,958</w:t>
            </w:r>
          </w:p>
        </w:tc>
        <w:tc>
          <w:tcPr>
            <w:tcW w:w="260" w:type="dxa"/>
            <w:vAlign w:val="bottom"/>
            <w:shd w:val="clear" w:color="auto" w:fill="DBE5F1"/>
          </w:tcPr>
          <w:p>
            <w:pPr>
              <w:spacing w:after="0"/>
              <w:rPr>
                <w:sz w:val="16"/>
                <w:szCs w:val="16"/>
                <w:color w:val="auto"/>
              </w:rPr>
            </w:pP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140" w:type="dxa"/>
            <w:vAlign w:val="bottom"/>
            <w:gridSpan w:val="2"/>
            <w:shd w:val="clear" w:color="auto" w:fill="DBE5F1"/>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4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(income) expenses to reconcile to income (loss)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146</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4</w:t>
            </w:r>
          </w:p>
        </w:tc>
        <w:tc>
          <w:tcPr>
            <w:tcW w:w="2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tcPr>
          <w:p>
            <w:pPr>
              <w:ind w:left="160"/>
              <w:spacing w:after="0" w:line="189" w:lineRule="exact"/>
              <w:rPr>
                <w:sz w:val="20"/>
                <w:szCs w:val="20"/>
                <w:color w:val="auto"/>
              </w:rPr>
            </w:pPr>
            <w:r>
              <w:rPr>
                <w:rFonts w:ascii="Times New Roman" w:cs="Times New Roman" w:eastAsia="Times New Roman" w:hAnsi="Times New Roman"/>
                <w:sz w:val="14"/>
                <w:szCs w:val="14"/>
                <w:color w:val="auto"/>
              </w:rPr>
              <w:t>before income taxes</w:t>
            </w:r>
            <w:r>
              <w:rPr>
                <w:rFonts w:ascii="Times New Roman" w:cs="Times New Roman" w:eastAsia="Times New Roman" w:hAnsi="Times New Roman"/>
                <w:sz w:val="18"/>
                <w:szCs w:val="18"/>
                <w:color w:val="auto"/>
                <w:vertAlign w:val="superscript"/>
              </w:rPr>
              <w:t>(f)</w:t>
            </w:r>
          </w:p>
        </w:tc>
        <w:tc>
          <w:tcPr>
            <w:tcW w:w="160" w:type="dxa"/>
            <w:vAlign w:val="bottom"/>
            <w:tcBorders>
              <w:bottom w:val="single" w:sz="8" w:color="DBE5F1"/>
            </w:tcBorders>
          </w:tcPr>
          <w:p>
            <w:pPr>
              <w:spacing w:after="0"/>
              <w:rPr>
                <w:sz w:val="16"/>
                <w:szCs w:val="16"/>
                <w:color w:val="auto"/>
              </w:rPr>
            </w:pPr>
          </w:p>
        </w:tc>
        <w:tc>
          <w:tcPr>
            <w:tcW w:w="74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7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DBE5F1"/>
            </w:tcBorders>
          </w:tcPr>
          <w:p>
            <w:pPr>
              <w:spacing w:after="0"/>
              <w:rPr>
                <w:sz w:val="16"/>
                <w:szCs w:val="16"/>
                <w:color w:val="auto"/>
              </w:rPr>
            </w:pPr>
          </w:p>
        </w:tc>
        <w:tc>
          <w:tcPr>
            <w:tcW w:w="740" w:type="dxa"/>
            <w:vAlign w:val="bottom"/>
            <w:tcBorders>
              <w:bottom w:val="single" w:sz="8" w:color="DBE5F1"/>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7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4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Borders>
              <w:bottom w:val="single" w:sz="8" w:color="DBE5F1"/>
            </w:tcBorders>
            <w:shd w:val="clear" w:color="auto" w:fill="DBE5F1"/>
          </w:tcPr>
          <w:p>
            <w:pPr>
              <w:spacing w:after="0"/>
              <w:rPr>
                <w:sz w:val="17"/>
                <w:szCs w:val="17"/>
                <w:color w:val="auto"/>
              </w:rPr>
            </w:pPr>
          </w:p>
        </w:tc>
        <w:tc>
          <w:tcPr>
            <w:tcW w:w="74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7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auto"/>
            </w:tcBorders>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DBE5F1"/>
            </w:tcBorders>
            <w:shd w:val="clear" w:color="auto" w:fill="DBE5F1"/>
          </w:tcPr>
          <w:p>
            <w:pPr>
              <w:spacing w:after="0"/>
              <w:rPr>
                <w:sz w:val="17"/>
                <w:szCs w:val="17"/>
                <w:color w:val="auto"/>
              </w:rPr>
            </w:pPr>
          </w:p>
        </w:tc>
        <w:tc>
          <w:tcPr>
            <w:tcW w:w="740" w:type="dxa"/>
            <w:vAlign w:val="bottom"/>
            <w:tcBorders>
              <w:bottom w:val="single" w:sz="8" w:color="DBE5F1"/>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7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auto"/>
            </w:tcBorders>
            <w:shd w:val="clear" w:color="auto" w:fill="DBE5F1"/>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
        </w:trPr>
        <w:tc>
          <w:tcPr>
            <w:tcW w:w="344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tcBorders>
          </w:tcPr>
          <w:p>
            <w:pPr>
              <w:spacing w:after="0" w:line="20" w:lineRule="exact"/>
              <w:rPr>
                <w:sz w:val="1"/>
                <w:szCs w:val="1"/>
                <w:color w:val="auto"/>
              </w:rPr>
            </w:pPr>
          </w:p>
        </w:tc>
        <w:tc>
          <w:tcPr>
            <w:tcW w:w="74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7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88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DBE5F1"/>
              <w:bottom w:val="single" w:sz="8" w:color="auto"/>
            </w:tcBorders>
          </w:tcPr>
          <w:p>
            <w:pPr>
              <w:spacing w:after="0" w:line="20" w:lineRule="exact"/>
              <w:rPr>
                <w:sz w:val="1"/>
                <w:szCs w:val="1"/>
                <w:color w:val="auto"/>
              </w:rPr>
            </w:pPr>
          </w:p>
        </w:tc>
        <w:tc>
          <w:tcPr>
            <w:tcW w:w="6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tcBorders>
          </w:tcPr>
          <w:p>
            <w:pPr>
              <w:spacing w:after="0" w:line="20" w:lineRule="exact"/>
              <w:rPr>
                <w:sz w:val="1"/>
                <w:szCs w:val="1"/>
                <w:color w:val="auto"/>
              </w:rPr>
            </w:pPr>
          </w:p>
        </w:tc>
        <w:tc>
          <w:tcPr>
            <w:tcW w:w="740" w:type="dxa"/>
            <w:vAlign w:val="bottom"/>
            <w:tcBorders>
              <w:top w:val="single" w:sz="8" w:color="DBE5F1"/>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7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88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DBE5F1"/>
              <w:bottom w:val="single" w:sz="8" w:color="auto"/>
            </w:tcBorders>
          </w:tcPr>
          <w:p>
            <w:pPr>
              <w:spacing w:after="0" w:line="20" w:lineRule="exact"/>
              <w:rPr>
                <w:sz w:val="1"/>
                <w:szCs w:val="1"/>
                <w:color w:val="auto"/>
              </w:rPr>
            </w:pPr>
          </w:p>
        </w:tc>
        <w:tc>
          <w:tcPr>
            <w:tcW w:w="64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85" w:hanging="285"/>
        <w:spacing w:after="0"/>
        <w:tabs>
          <w:tab w:leader="none" w:pos="28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6" w:lineRule="exact"/>
        <w:rPr>
          <w:rFonts w:ascii="Times New Roman" w:cs="Times New Roman" w:eastAsia="Times New Roman" w:hAnsi="Times New Roman"/>
          <w:sz w:val="13"/>
          <w:szCs w:val="13"/>
          <w:color w:val="auto"/>
        </w:rPr>
      </w:pPr>
    </w:p>
    <w:p>
      <w:pPr>
        <w:jc w:val="both"/>
        <w:ind w:left="285" w:hanging="285"/>
        <w:spacing w:after="0" w:line="245" w:lineRule="auto"/>
        <w:tabs>
          <w:tab w:leader="none" w:pos="27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costs of operations exclude (1) stock-based compensation expense, net of $5 million and $6 million for the three months ended December 31, 2024 and 2023, respectively and (2) prepaid lease purchase price adjustments of $4 million for each of the three months ended December 31, 2024 and 2023. Segment selling, general and administrative expenses and other selling, general and administrative expenses exclude stock-based compensation expense, net of $18 million and $25 million for the three months ended December 31, 2024 and 2023, respectively.</w:t>
      </w:r>
    </w:p>
    <w:p>
      <w:pPr>
        <w:ind w:left="285" w:hanging="285"/>
        <w:spacing w:after="0"/>
        <w:tabs>
          <w:tab w:leader="none" w:pos="283"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 and reconciliations of Segment Adjusted Site Rental Gross Margin and Segment Adjusted Services and Other Gross Margin to segment operating profit (loss).</w:t>
      </w:r>
    </w:p>
    <w:p>
      <w:pPr>
        <w:jc w:val="both"/>
        <w:ind w:left="285" w:right="20" w:hanging="285"/>
        <w:spacing w:after="0" w:line="243" w:lineRule="auto"/>
        <w:tabs>
          <w:tab w:leader="none" w:pos="279"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(1) the Company's restructuring plan announced in July 2023, as further discussed in the Annual Report on Form 10-K for the fiscal year ended December 31, 2023 ("2023 Restructuring Plan"), and (2) the Company's restructuring plan announced in June 2024, as further discussed in the Quarterly Report on Form 10-Q for the quarter ended June 30, 2024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three-month period ended December 31, 2023, there were $13 million of restructuring charges related to the June 2023 Restructuring Plan.</w:t>
      </w:r>
    </w:p>
    <w:p>
      <w:pPr>
        <w:ind w:left="285" w:hanging="285"/>
        <w:spacing w:after="0"/>
        <w:tabs>
          <w:tab w:leader="none" w:pos="28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ind w:left="285" w:hanging="285"/>
        <w:spacing w:after="0"/>
        <w:tabs>
          <w:tab w:leader="none" w:pos="28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condensed consolidated statement of operations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65"/>
          </w:cols>
          <w:pgMar w:left="315" w:top="120" w:right="319" w:bottom="1440" w:gutter="0" w:footer="0" w:header="0"/>
        </w:sectPr>
      </w:pPr>
    </w:p>
    <w:bookmarkStart w:id="63" w:name="page64"/>
    <w:bookmarkEnd w:id="63"/>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415"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ind w:left="26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22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2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4"/>
              </w:rPr>
              <w:t>CONSOLIDATED</w:t>
            </w:r>
          </w:p>
        </w:tc>
        <w:tc>
          <w:tcPr>
            <w:tcW w:w="12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5"/>
              </w:rPr>
              <w:t>CAPITALIZATION</w:t>
            </w:r>
          </w:p>
        </w:tc>
        <w:tc>
          <w:tcPr>
            <w:tcW w:w="12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8"/>
              </w:rPr>
              <w:t>TOWERS</w:t>
            </w:r>
          </w:p>
        </w:tc>
        <w:tc>
          <w:tcPr>
            <w:tcW w:w="120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200" w:type="dxa"/>
            <w:vAlign w:val="bottom"/>
            <w:tcBorders>
              <w:top w:val="single" w:sz="8" w:color="auto"/>
              <w:right w:val="single" w:sz="8" w:color="auto"/>
            </w:tcBorders>
            <w:vMerge w:val="restart"/>
            <w:shd w:val="clear" w:color="auto" w:fill="CCC0DA"/>
          </w:tcPr>
          <w:p>
            <w:pPr>
              <w:ind w:left="2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22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SEGMENT</w:t>
            </w:r>
          </w:p>
        </w:tc>
        <w:tc>
          <w:tcPr>
            <w:tcW w:w="12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122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SEGMENT OPERATING RESULTS</w:t>
      </w:r>
    </w:p>
    <w:p>
      <w:pPr>
        <w:spacing w:after="0" w:line="25" w:lineRule="exact"/>
        <w:rPr>
          <w:sz w:val="20"/>
          <w:szCs w:val="20"/>
          <w:color w:val="auto"/>
        </w:rPr>
      </w:pPr>
    </w:p>
    <w:tbl>
      <w:tblPr>
        <w:tblLayout w:type="fixed"/>
        <w:tblInd w:w="45" w:type="dxa"/>
        <w:tblCellMar>
          <w:top w:w="0" w:type="dxa"/>
          <w:left w:w="0" w:type="dxa"/>
          <w:bottom w:w="0" w:type="dxa"/>
          <w:right w:w="0" w:type="dxa"/>
        </w:tblCellMar>
      </w:tblPr>
      <w:tr>
        <w:trPr>
          <w:trHeight w:val="186"/>
        </w:trPr>
        <w:tc>
          <w:tcPr>
            <w:tcW w:w="3440" w:type="dxa"/>
            <w:vAlign w:val="bottom"/>
            <w:tcBorders>
              <w:top w:val="single" w:sz="8" w:color="auto"/>
              <w:bottom w:val="single" w:sz="8" w:color="DDDDDD"/>
            </w:tcBorders>
            <w:shd w:val="clear" w:color="auto" w:fill="DDDDDD"/>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3040" w:type="dxa"/>
            <w:vAlign w:val="bottom"/>
            <w:tcBorders>
              <w:top w:val="single" w:sz="8" w:color="auto"/>
              <w:bottom w:val="single" w:sz="8" w:color="auto"/>
            </w:tcBorders>
            <w:gridSpan w:val="7"/>
            <w:shd w:val="clear" w:color="auto" w:fill="DDDDDD"/>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 2024</w:t>
            </w:r>
          </w:p>
        </w:tc>
        <w:tc>
          <w:tcPr>
            <w:tcW w:w="620" w:type="dxa"/>
            <w:vAlign w:val="bottom"/>
            <w:tcBorders>
              <w:top w:val="single" w:sz="8" w:color="auto"/>
              <w:bottom w:val="single" w:sz="8" w:color="auto"/>
            </w:tcBorders>
            <w:shd w:val="clear" w:color="auto" w:fill="DDDDDD"/>
          </w:tcPr>
          <w:p>
            <w:pPr>
              <w:spacing w:after="0"/>
              <w:rPr>
                <w:sz w:val="16"/>
                <w:szCs w:val="16"/>
                <w:color w:val="auto"/>
              </w:rPr>
            </w:pPr>
          </w:p>
        </w:tc>
        <w:tc>
          <w:tcPr>
            <w:tcW w:w="80" w:type="dxa"/>
            <w:vAlign w:val="bottom"/>
            <w:tcBorders>
              <w:top w:val="single" w:sz="8" w:color="auto"/>
              <w:bottom w:val="single" w:sz="8" w:color="DDDDDD"/>
            </w:tcBorders>
            <w:shd w:val="clear" w:color="auto" w:fill="DDDDDD"/>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3060" w:type="dxa"/>
            <w:vAlign w:val="bottom"/>
            <w:tcBorders>
              <w:top w:val="single" w:sz="8" w:color="auto"/>
              <w:bottom w:val="single" w:sz="8" w:color="auto"/>
            </w:tcBorders>
            <w:gridSpan w:val="7"/>
            <w:shd w:val="clear" w:color="auto" w:fill="DDDDDD"/>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 December 31, 2023</w:t>
            </w:r>
          </w:p>
        </w:tc>
        <w:tc>
          <w:tcPr>
            <w:tcW w:w="620" w:type="dxa"/>
            <w:vAlign w:val="bottom"/>
            <w:tcBorders>
              <w:top w:val="single" w:sz="8" w:color="auto"/>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4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70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160" w:type="dxa"/>
            <w:vAlign w:val="bottom"/>
            <w:gridSpan w:val="2"/>
            <w:shd w:val="clear" w:color="auto" w:fill="DDDDDD"/>
          </w:tcPr>
          <w:p>
            <w:pPr>
              <w:jc w:val="center"/>
              <w:ind w:right="389"/>
              <w:spacing w:after="0" w:line="134"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1160" w:type="dxa"/>
            <w:vAlign w:val="bottom"/>
            <w:gridSpan w:val="2"/>
            <w:shd w:val="clear" w:color="auto" w:fill="DDDDDD"/>
          </w:tcPr>
          <w:p>
            <w:pPr>
              <w:jc w:val="center"/>
              <w:ind w:right="389"/>
              <w:spacing w:after="0" w:line="134" w:lineRule="exact"/>
              <w:rPr>
                <w:sz w:val="20"/>
                <w:szCs w:val="20"/>
                <w:color w:val="auto"/>
              </w:rPr>
            </w:pPr>
            <w:r>
              <w:rPr>
                <w:rFonts w:ascii="Times New Roman" w:cs="Times New Roman" w:eastAsia="Times New Roman" w:hAnsi="Times New Roman"/>
                <w:sz w:val="14"/>
                <w:szCs w:val="14"/>
                <w:b w:val="1"/>
                <w:bCs w:val="1"/>
                <w:color w:val="auto"/>
              </w:rPr>
              <w:t>Other Non-</w:t>
            </w:r>
          </w:p>
        </w:tc>
        <w:tc>
          <w:tcPr>
            <w:tcW w:w="62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4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shd w:val="clear" w:color="auto" w:fill="DDDDDD"/>
          </w:tcPr>
          <w:p>
            <w:pPr>
              <w:spacing w:after="0"/>
              <w:rPr>
                <w:sz w:val="12"/>
                <w:szCs w:val="12"/>
                <w:color w:val="auto"/>
              </w:rPr>
            </w:pPr>
          </w:p>
        </w:tc>
        <w:tc>
          <w:tcPr>
            <w:tcW w:w="820" w:type="dxa"/>
            <w:vAlign w:val="bottom"/>
            <w:gridSpan w:val="2"/>
            <w:vMerge w:val="restart"/>
            <w:shd w:val="clear" w:color="auto" w:fill="DDDDDD"/>
          </w:tcPr>
          <w:p>
            <w:pPr>
              <w:ind w:left="6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shd w:val="clear" w:color="auto" w:fill="DDDDDD"/>
          </w:tcPr>
          <w:p>
            <w:pPr>
              <w:spacing w:after="0"/>
              <w:rPr>
                <w:sz w:val="12"/>
                <w:szCs w:val="12"/>
                <w:color w:val="auto"/>
              </w:rPr>
            </w:pPr>
          </w:p>
        </w:tc>
        <w:tc>
          <w:tcPr>
            <w:tcW w:w="880" w:type="dxa"/>
            <w:vAlign w:val="bottom"/>
            <w:gridSpan w:val="2"/>
            <w:vMerge w:val="restart"/>
            <w:shd w:val="clear" w:color="auto" w:fill="DDDDDD"/>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60" w:type="dxa"/>
            <w:vAlign w:val="bottom"/>
            <w:gridSpan w:val="2"/>
            <w:shd w:val="clear" w:color="auto" w:fill="DDDDDD"/>
          </w:tcPr>
          <w:p>
            <w:pPr>
              <w:jc w:val="center"/>
              <w:ind w:right="369"/>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vMerge w:val="restart"/>
            <w:shd w:val="clear" w:color="auto" w:fill="DDDDDD"/>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shd w:val="clear" w:color="auto" w:fill="DDDDDD"/>
          </w:tcPr>
          <w:p>
            <w:pPr>
              <w:spacing w:after="0"/>
              <w:rPr>
                <w:sz w:val="12"/>
                <w:szCs w:val="12"/>
                <w:color w:val="auto"/>
              </w:rPr>
            </w:pPr>
          </w:p>
        </w:tc>
        <w:tc>
          <w:tcPr>
            <w:tcW w:w="160" w:type="dxa"/>
            <w:vAlign w:val="bottom"/>
            <w:shd w:val="clear" w:color="auto" w:fill="DDDDDD"/>
          </w:tcPr>
          <w:p>
            <w:pPr>
              <w:spacing w:after="0"/>
              <w:rPr>
                <w:sz w:val="12"/>
                <w:szCs w:val="12"/>
                <w:color w:val="auto"/>
              </w:rPr>
            </w:pPr>
          </w:p>
        </w:tc>
        <w:tc>
          <w:tcPr>
            <w:tcW w:w="820" w:type="dxa"/>
            <w:vAlign w:val="bottom"/>
            <w:gridSpan w:val="2"/>
            <w:vMerge w:val="restart"/>
            <w:shd w:val="clear" w:color="auto" w:fill="DDDDDD"/>
          </w:tcPr>
          <w:p>
            <w:pPr>
              <w:ind w:left="8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80" w:type="dxa"/>
            <w:vAlign w:val="bottom"/>
            <w:shd w:val="clear" w:color="auto" w:fill="DDDDDD"/>
          </w:tcPr>
          <w:p>
            <w:pPr>
              <w:spacing w:after="0"/>
              <w:rPr>
                <w:sz w:val="12"/>
                <w:szCs w:val="12"/>
                <w:color w:val="auto"/>
              </w:rPr>
            </w:pPr>
          </w:p>
        </w:tc>
        <w:tc>
          <w:tcPr>
            <w:tcW w:w="900" w:type="dxa"/>
            <w:vAlign w:val="bottom"/>
            <w:gridSpan w:val="2"/>
            <w:vMerge w:val="restart"/>
            <w:shd w:val="clear" w:color="auto" w:fill="DDDDDD"/>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Fiber</w:t>
            </w:r>
          </w:p>
        </w:tc>
        <w:tc>
          <w:tcPr>
            <w:tcW w:w="1160" w:type="dxa"/>
            <w:vAlign w:val="bottom"/>
            <w:gridSpan w:val="2"/>
            <w:shd w:val="clear" w:color="auto" w:fill="DDDDDD"/>
          </w:tcPr>
          <w:p>
            <w:pPr>
              <w:jc w:val="center"/>
              <w:ind w:right="409"/>
              <w:spacing w:after="0" w:line="142" w:lineRule="exact"/>
              <w:rPr>
                <w:sz w:val="20"/>
                <w:szCs w:val="20"/>
                <w:color w:val="auto"/>
              </w:rPr>
            </w:pPr>
            <w:r>
              <w:rPr>
                <w:rFonts w:ascii="Times New Roman" w:cs="Times New Roman" w:eastAsia="Times New Roman" w:hAnsi="Times New Roman"/>
                <w:sz w:val="14"/>
                <w:szCs w:val="14"/>
                <w:b w:val="1"/>
                <w:bCs w:val="1"/>
                <w:color w:val="auto"/>
              </w:rPr>
              <w:t>Segment</w:t>
            </w:r>
          </w:p>
        </w:tc>
        <w:tc>
          <w:tcPr>
            <w:tcW w:w="620" w:type="dxa"/>
            <w:vAlign w:val="bottom"/>
            <w:vMerge w:val="restart"/>
            <w:shd w:val="clear" w:color="auto" w:fill="DDDDDD"/>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820" w:type="dxa"/>
            <w:vAlign w:val="bottom"/>
            <w:tcBorders>
              <w:bottom w:val="single" w:sz="8" w:color="auto"/>
            </w:tcBorders>
            <w:gridSpan w:val="2"/>
            <w:vMerge w:val="continue"/>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gridSpan w:val="2"/>
            <w:vMerge w:val="continue"/>
            <w:shd w:val="clear" w:color="auto" w:fill="DDDDDD"/>
          </w:tcPr>
          <w:p>
            <w:pPr>
              <w:spacing w:after="0"/>
              <w:rPr>
                <w:sz w:val="16"/>
                <w:szCs w:val="16"/>
                <w:color w:val="auto"/>
              </w:rPr>
            </w:pPr>
          </w:p>
        </w:tc>
        <w:tc>
          <w:tcPr>
            <w:tcW w:w="1160" w:type="dxa"/>
            <w:vAlign w:val="bottom"/>
            <w:tcBorders>
              <w:bottom w:val="single" w:sz="8" w:color="auto"/>
            </w:tcBorders>
            <w:gridSpan w:val="2"/>
            <w:shd w:val="clear" w:color="auto" w:fill="DDDDDD"/>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20" w:type="dxa"/>
            <w:vAlign w:val="bottom"/>
            <w:tcBorders>
              <w:bottom w:val="single" w:sz="8" w:color="auto"/>
            </w:tcBorders>
            <w:vMerge w:val="continue"/>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820" w:type="dxa"/>
            <w:vAlign w:val="bottom"/>
            <w:tcBorders>
              <w:bottom w:val="single" w:sz="8" w:color="auto"/>
            </w:tcBorders>
            <w:gridSpan w:val="2"/>
            <w:vMerge w:val="continue"/>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gridSpan w:val="2"/>
            <w:vMerge w:val="continue"/>
            <w:shd w:val="clear" w:color="auto" w:fill="DDDDDD"/>
          </w:tcPr>
          <w:p>
            <w:pPr>
              <w:spacing w:after="0"/>
              <w:rPr>
                <w:sz w:val="16"/>
                <w:szCs w:val="16"/>
                <w:color w:val="auto"/>
              </w:rPr>
            </w:pPr>
          </w:p>
        </w:tc>
        <w:tc>
          <w:tcPr>
            <w:tcW w:w="1160" w:type="dxa"/>
            <w:vAlign w:val="bottom"/>
            <w:tcBorders>
              <w:bottom w:val="single" w:sz="8" w:color="auto"/>
            </w:tcBorders>
            <w:gridSpan w:val="2"/>
            <w:shd w:val="clear" w:color="auto" w:fill="DDDDDD"/>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rPr>
              <w:t>Items</w:t>
            </w:r>
          </w:p>
        </w:tc>
        <w:tc>
          <w:tcPr>
            <w:tcW w:w="620" w:type="dxa"/>
            <w:vAlign w:val="bottom"/>
            <w:tcBorders>
              <w:bottom w:val="single" w:sz="8" w:color="auto"/>
            </w:tcBorders>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Segment site rental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80" w:type="dxa"/>
            <w:vAlign w:val="bottom"/>
          </w:tcPr>
          <w:p>
            <w:pPr>
              <w:spacing w:after="0"/>
              <w:rPr>
                <w:sz w:val="15"/>
                <w:szCs w:val="15"/>
                <w:color w:val="auto"/>
              </w:rPr>
            </w:pPr>
          </w:p>
        </w:tc>
        <w:tc>
          <w:tcPr>
            <w:tcW w:w="11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180" w:type="dxa"/>
            <w:vAlign w:val="bottom"/>
          </w:tcPr>
          <w:p>
            <w:pPr>
              <w:spacing w:after="0"/>
              <w:rPr>
                <w:sz w:val="15"/>
                <w:szCs w:val="15"/>
                <w:color w:val="auto"/>
              </w:rPr>
            </w:pPr>
          </w:p>
        </w:tc>
        <w:tc>
          <w:tcPr>
            <w:tcW w:w="116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6,532</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spacing w:after="0"/>
              <w:rPr>
                <w:sz w:val="20"/>
                <w:szCs w:val="20"/>
                <w:color w:val="auto"/>
              </w:rPr>
            </w:pPr>
            <w:r>
              <w:rPr>
                <w:rFonts w:ascii="Times New Roman" w:cs="Times New Roman" w:eastAsia="Times New Roman" w:hAnsi="Times New Roman"/>
                <w:sz w:val="14"/>
                <w:szCs w:val="14"/>
                <w:color w:val="auto"/>
              </w:rPr>
              <w:t>Segment services and other revenues</w:t>
            </w:r>
          </w:p>
        </w:tc>
        <w:tc>
          <w:tcPr>
            <w:tcW w:w="16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80" w:type="dxa"/>
            <w:vAlign w:val="bottom"/>
            <w:tcBorders>
              <w:bottom w:val="single" w:sz="8" w:color="auto"/>
            </w:tcBorders>
            <w:shd w:val="clear" w:color="auto" w:fill="DBE5F1"/>
          </w:tcPr>
          <w:p>
            <w:pPr>
              <w:spacing w:after="0"/>
              <w:rPr>
                <w:sz w:val="16"/>
                <w:szCs w:val="16"/>
                <w:color w:val="auto"/>
              </w:rPr>
            </w:pP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DBE5F1"/>
          </w:tcPr>
          <w:p>
            <w:pPr>
              <w:spacing w:after="0"/>
              <w:rPr>
                <w:sz w:val="16"/>
                <w:szCs w:val="16"/>
                <w:color w:val="auto"/>
              </w:rPr>
            </w:pPr>
          </w:p>
        </w:tc>
        <w:tc>
          <w:tcPr>
            <w:tcW w:w="16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80" w:type="dxa"/>
            <w:vAlign w:val="bottom"/>
            <w:tcBorders>
              <w:bottom w:val="single" w:sz="8" w:color="auto"/>
            </w:tcBorders>
            <w:shd w:val="clear" w:color="auto" w:fill="DBE5F1"/>
          </w:tcPr>
          <w:p>
            <w:pPr>
              <w:spacing w:after="0"/>
              <w:rPr>
                <w:sz w:val="16"/>
                <w:szCs w:val="16"/>
                <w:color w:val="auto"/>
              </w:rPr>
            </w:pP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DBE5F1"/>
            </w:tcBorders>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80" w:type="dxa"/>
            <w:vAlign w:val="bottom"/>
            <w:tcBorders>
              <w:bottom w:val="single" w:sz="8" w:color="DBE5F1"/>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80" w:type="dxa"/>
            <w:vAlign w:val="bottom"/>
            <w:tcBorders>
              <w:bottom w:val="single" w:sz="8" w:color="DBE5F1"/>
            </w:tcBorders>
          </w:tcPr>
          <w:p>
            <w:pPr>
              <w:spacing w:after="0"/>
              <w:rPr>
                <w:sz w:val="15"/>
                <w:szCs w:val="15"/>
                <w:color w:val="auto"/>
              </w:rPr>
            </w:pPr>
          </w:p>
        </w:tc>
        <w:tc>
          <w:tcPr>
            <w:tcW w:w="880" w:type="dxa"/>
            <w:vAlign w:val="bottom"/>
            <w:tcBorders>
              <w:bottom w:val="single" w:sz="8" w:color="DBE5F1"/>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w:t>
            </w:r>
          </w:p>
        </w:tc>
        <w:tc>
          <w:tcPr>
            <w:tcW w:w="80" w:type="dxa"/>
            <w:vAlign w:val="bottom"/>
            <w:tcBorders>
              <w:bottom w:val="single" w:sz="8" w:color="DBE5F1"/>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80" w:type="dxa"/>
            <w:vAlign w:val="bottom"/>
            <w:tcBorders>
              <w:bottom w:val="single" w:sz="8" w:color="DBE5F1"/>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80" w:type="dxa"/>
            <w:vAlign w:val="bottom"/>
            <w:tcBorders>
              <w:bottom w:val="single" w:sz="8" w:color="DBE5F1"/>
            </w:tcBorders>
          </w:tcPr>
          <w:p>
            <w:pPr>
              <w:spacing w:after="0"/>
              <w:rPr>
                <w:sz w:val="15"/>
                <w:szCs w:val="15"/>
                <w:color w:val="auto"/>
              </w:rPr>
            </w:pPr>
          </w:p>
        </w:tc>
        <w:tc>
          <w:tcPr>
            <w:tcW w:w="880" w:type="dxa"/>
            <w:vAlign w:val="bottom"/>
            <w:tcBorders>
              <w:bottom w:val="single" w:sz="8" w:color="DBE5F1"/>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0" w:type="dxa"/>
            <w:vAlign w:val="bottom"/>
          </w:tcPr>
          <w:p>
            <w:pPr>
              <w:spacing w:after="0"/>
              <w:rPr>
                <w:sz w:val="1"/>
                <w:szCs w:val="1"/>
                <w:color w:val="auto"/>
              </w:rPr>
            </w:pPr>
          </w:p>
        </w:tc>
      </w:tr>
      <w:tr>
        <w:trPr>
          <w:trHeight w:val="183"/>
        </w:trPr>
        <w:tc>
          <w:tcPr>
            <w:tcW w:w="3440" w:type="dxa"/>
            <w:vAlign w:val="bottom"/>
            <w:shd w:val="clear" w:color="auto" w:fill="DBE5F1"/>
          </w:tcPr>
          <w:p>
            <w:pPr>
              <w:spacing w:after="0"/>
              <w:rPr>
                <w:sz w:val="20"/>
                <w:szCs w:val="20"/>
                <w:color w:val="auto"/>
              </w:rPr>
            </w:pPr>
            <w:r>
              <w:rPr>
                <w:rFonts w:ascii="Times New Roman" w:cs="Times New Roman" w:eastAsia="Times New Roman" w:hAnsi="Times New Roman"/>
                <w:sz w:val="14"/>
                <w:szCs w:val="14"/>
                <w:color w:val="auto"/>
              </w:rPr>
              <w:t>Segment site rental costs of operations</w:t>
            </w: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8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DBE5F1"/>
            </w:tcBorders>
          </w:tcPr>
          <w:p>
            <w:pPr>
              <w:spacing w:after="0"/>
              <w:rPr>
                <w:sz w:val="20"/>
                <w:szCs w:val="20"/>
                <w:color w:val="auto"/>
              </w:rPr>
            </w:pPr>
            <w:r>
              <w:rPr>
                <w:rFonts w:ascii="Times New Roman" w:cs="Times New Roman" w:eastAsia="Times New Roman" w:hAnsi="Times New Roman"/>
                <w:sz w:val="14"/>
                <w:szCs w:val="14"/>
                <w:color w:val="auto"/>
              </w:rPr>
              <w:t>Segment services and other costs of operations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83"/>
        </w:trPr>
        <w:tc>
          <w:tcPr>
            <w:tcW w:w="3440" w:type="dxa"/>
            <w:vAlign w:val="bottom"/>
            <w:shd w:val="clear" w:color="auto" w:fill="DBE5F1"/>
          </w:tcPr>
          <w:p>
            <w:pPr>
              <w:spacing w:after="0" w:line="183" w:lineRule="exact"/>
              <w:rPr>
                <w:sz w:val="20"/>
                <w:szCs w:val="20"/>
                <w:color w:val="auto"/>
              </w:rPr>
            </w:pPr>
            <w:r>
              <w:rPr>
                <w:rFonts w:ascii="Times New Roman" w:cs="Times New Roman" w:eastAsia="Times New Roman" w:hAnsi="Times New Roman"/>
                <w:sz w:val="14"/>
                <w:szCs w:val="14"/>
                <w:color w:val="auto"/>
              </w:rPr>
              <w:t>Segment costs of operations</w:t>
            </w:r>
            <w:r>
              <w:rPr>
                <w:rFonts w:ascii="Times New Roman" w:cs="Times New Roman" w:eastAsia="Times New Roman" w:hAnsi="Times New Roman"/>
                <w:sz w:val="18"/>
                <w:szCs w:val="18"/>
                <w:color w:val="auto"/>
                <w:vertAlign w:val="superscript"/>
              </w:rPr>
              <w:t>(a)(b)</w:t>
            </w:r>
          </w:p>
        </w:tc>
        <w:tc>
          <w:tcPr>
            <w:tcW w:w="160" w:type="dxa"/>
            <w:vAlign w:val="bottom"/>
            <w:tcBorders>
              <w:bottom w:val="single" w:sz="8" w:color="auto"/>
            </w:tcBorders>
            <w:shd w:val="clear" w:color="auto" w:fill="DBE5F1"/>
          </w:tcPr>
          <w:p>
            <w:pPr>
              <w:spacing w:after="0"/>
              <w:rPr>
                <w:sz w:val="15"/>
                <w:szCs w:val="15"/>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tcBorders>
              <w:bottom w:val="single" w:sz="8" w:color="auto"/>
            </w:tcBorders>
            <w:shd w:val="clear" w:color="auto" w:fill="DBE5F1"/>
          </w:tcPr>
          <w:p>
            <w:pPr>
              <w:spacing w:after="0"/>
              <w:rPr>
                <w:sz w:val="15"/>
                <w:szCs w:val="15"/>
                <w:color w:val="auto"/>
              </w:rPr>
            </w:pP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7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tcBorders>
              <w:bottom w:val="single" w:sz="8" w:color="auto"/>
            </w:tcBorders>
            <w:shd w:val="clear" w:color="auto" w:fill="DBE5F1"/>
          </w:tcPr>
          <w:p>
            <w:pPr>
              <w:spacing w:after="0"/>
              <w:rPr>
                <w:sz w:val="15"/>
                <w:szCs w:val="15"/>
                <w:color w:val="auto"/>
              </w:rPr>
            </w:pP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181"/>
        </w:trPr>
        <w:tc>
          <w:tcPr>
            <w:tcW w:w="344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(c)</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w:t>
            </w:r>
          </w:p>
        </w:tc>
        <w:tc>
          <w:tcPr>
            <w:tcW w:w="0" w:type="dxa"/>
            <w:vAlign w:val="bottom"/>
          </w:tcPr>
          <w:p>
            <w:pPr>
              <w:spacing w:after="0"/>
              <w:rPr>
                <w:sz w:val="1"/>
                <w:szCs w:val="1"/>
                <w:color w:val="auto"/>
              </w:rPr>
            </w:pPr>
          </w:p>
        </w:tc>
      </w:tr>
      <w:tr>
        <w:trPr>
          <w:trHeight w:val="189"/>
        </w:trPr>
        <w:tc>
          <w:tcPr>
            <w:tcW w:w="3440" w:type="dxa"/>
            <w:vAlign w:val="bottom"/>
            <w:shd w:val="clear" w:color="auto" w:fill="DBE5F1"/>
          </w:tcPr>
          <w:p>
            <w:pPr>
              <w:spacing w:after="0" w:line="189" w:lineRule="exact"/>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tcPr>
          <w:p>
            <w:pPr>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81"/>
        </w:trPr>
        <w:tc>
          <w:tcPr>
            <w:tcW w:w="3440" w:type="dxa"/>
            <w:vAlign w:val="bottom"/>
            <w:shd w:val="clear" w:color="auto" w:fill="DBE5F1"/>
          </w:tcPr>
          <w:p>
            <w:pPr>
              <w:spacing w:after="0" w:line="181"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(c)</w:t>
            </w: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8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8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8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4,748</w:t>
            </w:r>
          </w:p>
        </w:tc>
        <w:tc>
          <w:tcPr>
            <w:tcW w:w="0" w:type="dxa"/>
            <w:vAlign w:val="bottom"/>
          </w:tcPr>
          <w:p>
            <w:pPr>
              <w:spacing w:after="0"/>
              <w:rPr>
                <w:sz w:val="1"/>
                <w:szCs w:val="1"/>
                <w:color w:val="auto"/>
              </w:rPr>
            </w:pPr>
          </w:p>
        </w:tc>
      </w:tr>
      <w:tr>
        <w:trPr>
          <w:trHeight w:val="189"/>
        </w:trPr>
        <w:tc>
          <w:tcPr>
            <w:tcW w:w="344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Other selling, general and administrative expenses</w:t>
            </w:r>
            <w:r>
              <w:rPr>
                <w:rFonts w:ascii="Times New Roman" w:cs="Times New Roman" w:eastAsia="Times New Roman" w:hAnsi="Times New Roman"/>
                <w:sz w:val="18"/>
                <w:szCs w:val="18"/>
                <w:color w:val="auto"/>
                <w:vertAlign w:val="superscript"/>
              </w:rPr>
              <w:t>(b)</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348</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333</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9"/>
        </w:trPr>
        <w:tc>
          <w:tcPr>
            <w:tcW w:w="3440" w:type="dxa"/>
            <w:vAlign w:val="bottom"/>
            <w:shd w:val="clear" w:color="auto" w:fill="DBE5F1"/>
          </w:tcPr>
          <w:p>
            <w:pPr>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131</w:t>
            </w: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157</w:t>
            </w: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1,738</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1,754</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spacing w:after="0" w:line="19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Interest expense and amortization of deferred financing</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932</w:t>
            </w: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850</w:t>
            </w: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87"/>
        </w:trPr>
        <w:tc>
          <w:tcPr>
            <w:tcW w:w="3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net</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DBE5F1"/>
          </w:tcPr>
          <w:p>
            <w:pPr>
              <w:spacing w:after="0" w:line="192"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(e)</w:t>
            </w: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88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4,958</w:t>
            </w:r>
          </w:p>
        </w:tc>
        <w:tc>
          <w:tcPr>
            <w:tcW w:w="280" w:type="dxa"/>
            <w:vAlign w:val="bottom"/>
            <w:shd w:val="clear" w:color="auto" w:fill="DBE5F1"/>
          </w:tcPr>
          <w:p>
            <w:pPr>
              <w:spacing w:after="0"/>
              <w:rPr>
                <w:sz w:val="16"/>
                <w:szCs w:val="16"/>
                <w:color w:val="auto"/>
              </w:rPr>
            </w:pP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1160" w:type="dxa"/>
            <w:vAlign w:val="bottom"/>
            <w:gridSpan w:val="2"/>
            <w:shd w:val="clear" w:color="auto" w:fill="DBE5F1"/>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4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(income) expenses to reconcile to income (loss)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173</w:t>
            </w: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9"/>
        </w:trPr>
        <w:tc>
          <w:tcPr>
            <w:tcW w:w="3440" w:type="dxa"/>
            <w:vAlign w:val="bottom"/>
            <w:tcBorders>
              <w:bottom w:val="single" w:sz="8" w:color="DBE5F1"/>
            </w:tcBorders>
          </w:tcPr>
          <w:p>
            <w:pPr>
              <w:ind w:left="140"/>
              <w:spacing w:after="0" w:line="189" w:lineRule="exact"/>
              <w:rPr>
                <w:sz w:val="20"/>
                <w:szCs w:val="20"/>
                <w:color w:val="auto"/>
              </w:rPr>
            </w:pPr>
            <w:r>
              <w:rPr>
                <w:rFonts w:ascii="Times New Roman" w:cs="Times New Roman" w:eastAsia="Times New Roman" w:hAnsi="Times New Roman"/>
                <w:sz w:val="14"/>
                <w:szCs w:val="14"/>
                <w:color w:val="auto"/>
              </w:rPr>
              <w:t>before income taxes</w:t>
            </w:r>
            <w:r>
              <w:rPr>
                <w:rFonts w:ascii="Times New Roman" w:cs="Times New Roman" w:eastAsia="Times New Roman" w:hAnsi="Times New Roman"/>
                <w:sz w:val="18"/>
                <w:szCs w:val="18"/>
                <w:color w:val="auto"/>
                <w:vertAlign w:val="superscript"/>
              </w:rPr>
              <w:t>(f)</w:t>
            </w:r>
          </w:p>
        </w:tc>
        <w:tc>
          <w:tcPr>
            <w:tcW w:w="160" w:type="dxa"/>
            <w:vAlign w:val="bottom"/>
            <w:tcBorders>
              <w:bottom w:val="single" w:sz="8" w:color="DBE5F1"/>
            </w:tcBorders>
          </w:tcPr>
          <w:p>
            <w:pPr>
              <w:spacing w:after="0"/>
              <w:rPr>
                <w:sz w:val="16"/>
                <w:szCs w:val="16"/>
                <w:color w:val="auto"/>
              </w:rPr>
            </w:pPr>
          </w:p>
        </w:tc>
        <w:tc>
          <w:tcPr>
            <w:tcW w:w="74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70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DBE5F1"/>
            </w:tcBorders>
          </w:tcPr>
          <w:p>
            <w:pPr>
              <w:spacing w:after="0"/>
              <w:rPr>
                <w:sz w:val="16"/>
                <w:szCs w:val="16"/>
                <w:color w:val="auto"/>
              </w:rPr>
            </w:pPr>
          </w:p>
        </w:tc>
        <w:tc>
          <w:tcPr>
            <w:tcW w:w="740" w:type="dxa"/>
            <w:vAlign w:val="bottom"/>
            <w:tcBorders>
              <w:bottom w:val="single" w:sz="8" w:color="DBE5F1"/>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72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880" w:type="dxa"/>
            <w:vAlign w:val="bottom"/>
            <w:tcBorders>
              <w:bottom w:val="single" w:sz="8" w:color="DBE5F1"/>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4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60" w:type="dxa"/>
            <w:vAlign w:val="bottom"/>
            <w:tcBorders>
              <w:bottom w:val="single" w:sz="8" w:color="DBE5F1"/>
            </w:tcBorders>
            <w:shd w:val="clear" w:color="auto" w:fill="DBE5F1"/>
          </w:tcPr>
          <w:p>
            <w:pPr>
              <w:spacing w:after="0"/>
              <w:rPr>
                <w:sz w:val="17"/>
                <w:szCs w:val="17"/>
                <w:color w:val="auto"/>
              </w:rPr>
            </w:pPr>
          </w:p>
        </w:tc>
        <w:tc>
          <w:tcPr>
            <w:tcW w:w="74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7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spacing w:after="0"/>
              <w:rPr>
                <w:sz w:val="17"/>
                <w:szCs w:val="17"/>
                <w:color w:val="auto"/>
              </w:rPr>
            </w:pPr>
          </w:p>
        </w:tc>
        <w:tc>
          <w:tcPr>
            <w:tcW w:w="280" w:type="dxa"/>
            <w:vAlign w:val="bottom"/>
            <w:tcBorders>
              <w:bottom w:val="single" w:sz="8" w:color="auto"/>
            </w:tcBorders>
            <w:shd w:val="clear" w:color="auto" w:fill="DBE5F1"/>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DBE5F1"/>
            </w:tcBorders>
            <w:shd w:val="clear" w:color="auto" w:fill="DBE5F1"/>
          </w:tcPr>
          <w:p>
            <w:pPr>
              <w:spacing w:after="0"/>
              <w:rPr>
                <w:sz w:val="17"/>
                <w:szCs w:val="17"/>
                <w:color w:val="auto"/>
              </w:rPr>
            </w:pPr>
          </w:p>
        </w:tc>
        <w:tc>
          <w:tcPr>
            <w:tcW w:w="740" w:type="dxa"/>
            <w:vAlign w:val="bottom"/>
            <w:tcBorders>
              <w:bottom w:val="single" w:sz="8" w:color="DBE5F1"/>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72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spacing w:after="0"/>
              <w:rPr>
                <w:sz w:val="17"/>
                <w:szCs w:val="17"/>
                <w:color w:val="auto"/>
              </w:rPr>
            </w:pPr>
          </w:p>
        </w:tc>
        <w:tc>
          <w:tcPr>
            <w:tcW w:w="280" w:type="dxa"/>
            <w:vAlign w:val="bottom"/>
            <w:tcBorders>
              <w:bottom w:val="single" w:sz="8" w:color="auto"/>
            </w:tcBorders>
            <w:shd w:val="clear" w:color="auto" w:fill="DBE5F1"/>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1,528</w:t>
            </w:r>
          </w:p>
        </w:tc>
        <w:tc>
          <w:tcPr>
            <w:tcW w:w="0" w:type="dxa"/>
            <w:vAlign w:val="bottom"/>
          </w:tcPr>
          <w:p>
            <w:pPr>
              <w:spacing w:after="0"/>
              <w:rPr>
                <w:sz w:val="1"/>
                <w:szCs w:val="1"/>
                <w:color w:val="auto"/>
              </w:rPr>
            </w:pPr>
          </w:p>
        </w:tc>
      </w:tr>
      <w:tr>
        <w:trPr>
          <w:trHeight w:val="20"/>
        </w:trPr>
        <w:tc>
          <w:tcPr>
            <w:tcW w:w="344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tcBorders>
          </w:tcPr>
          <w:p>
            <w:pPr>
              <w:spacing w:after="0" w:line="20" w:lineRule="exact"/>
              <w:rPr>
                <w:sz w:val="1"/>
                <w:szCs w:val="1"/>
                <w:color w:val="auto"/>
              </w:rPr>
            </w:pPr>
          </w:p>
        </w:tc>
        <w:tc>
          <w:tcPr>
            <w:tcW w:w="74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7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88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6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tcBorders>
          </w:tcPr>
          <w:p>
            <w:pPr>
              <w:spacing w:after="0" w:line="20" w:lineRule="exact"/>
              <w:rPr>
                <w:sz w:val="1"/>
                <w:szCs w:val="1"/>
                <w:color w:val="auto"/>
              </w:rPr>
            </w:pPr>
          </w:p>
        </w:tc>
        <w:tc>
          <w:tcPr>
            <w:tcW w:w="740" w:type="dxa"/>
            <w:vAlign w:val="bottom"/>
            <w:tcBorders>
              <w:top w:val="single" w:sz="8" w:color="DBE5F1"/>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72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tcBorders>
          </w:tcPr>
          <w:p>
            <w:pPr>
              <w:spacing w:after="0" w:line="20" w:lineRule="exact"/>
              <w:rPr>
                <w:sz w:val="1"/>
                <w:szCs w:val="1"/>
                <w:color w:val="auto"/>
              </w:rPr>
            </w:pPr>
          </w:p>
        </w:tc>
        <w:tc>
          <w:tcPr>
            <w:tcW w:w="880" w:type="dxa"/>
            <w:vAlign w:val="bottom"/>
            <w:tcBorders>
              <w:top w:val="single" w:sz="8" w:color="DBE5F1"/>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62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5" w:hanging="285"/>
        <w:spacing w:after="0"/>
        <w:tabs>
          <w:tab w:leader="none" w:pos="285"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14" w:lineRule="exact"/>
        <w:rPr>
          <w:rFonts w:ascii="Times New Roman" w:cs="Times New Roman" w:eastAsia="Times New Roman" w:hAnsi="Times New Roman"/>
          <w:sz w:val="13"/>
          <w:szCs w:val="13"/>
          <w:color w:val="auto"/>
        </w:rPr>
      </w:pPr>
    </w:p>
    <w:p>
      <w:pPr>
        <w:jc w:val="both"/>
        <w:ind w:left="285" w:hanging="285"/>
        <w:spacing w:after="0" w:line="246" w:lineRule="auto"/>
        <w:tabs>
          <w:tab w:leader="none" w:pos="27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costs of operations exclude (1) stock-based compensation expense, net of $25 million and $29 million for the twelve months ended December 31, 2024 and 2023, respectively, and (2) prepaid lease purchase price adjustments of $16 million for each of the twelve-months ended December 31, 2024 and 2023. Segment selling, general and administrative expenses and other selling, general and administrative expenses exclude stock-based compensation expense, net of $106 million and $128 million for the twelve months ended December 31, 2024 and 2023, respectively.</w:t>
      </w:r>
    </w:p>
    <w:p>
      <w:pPr>
        <w:spacing w:after="0" w:line="1" w:lineRule="exact"/>
        <w:rPr>
          <w:rFonts w:ascii="Times New Roman" w:cs="Times New Roman" w:eastAsia="Times New Roman" w:hAnsi="Times New Roman"/>
          <w:sz w:val="13"/>
          <w:szCs w:val="13"/>
          <w:color w:val="auto"/>
        </w:rPr>
      </w:pPr>
    </w:p>
    <w:p>
      <w:pPr>
        <w:ind w:left="285" w:hanging="285"/>
        <w:spacing w:after="0" w:line="237" w:lineRule="auto"/>
        <w:tabs>
          <w:tab w:leader="none" w:pos="28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 and reconciliations of Segment Adjusted Site Rental Gross Margin and Segment Adjusted Services and Other Gross Margin to segment operating profit (loss).</w:t>
      </w:r>
    </w:p>
    <w:p>
      <w:pPr>
        <w:jc w:val="both"/>
        <w:ind w:left="285" w:hanging="285"/>
        <w:spacing w:after="0" w:line="242" w:lineRule="auto"/>
        <w:tabs>
          <w:tab w:leader="none" w:pos="27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full year ended December 31, 2024, there were $9 million and $100 million of restructuring charges related to the July 2023 Restructuring Plan and the June 2024 Restructuring Plan, respectively. For the full year ended December 31, 2023, there were $85 million of restructuring charges related to the June 2023 Restructuring Plan.</w:t>
      </w:r>
    </w:p>
    <w:p>
      <w:pPr>
        <w:ind w:left="285" w:hanging="285"/>
        <w:spacing w:after="0"/>
        <w:tabs>
          <w:tab w:leader="none" w:pos="285"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ind w:left="285" w:hanging="285"/>
        <w:spacing w:after="0"/>
        <w:tabs>
          <w:tab w:leader="none" w:pos="285"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condensed consolidated statement of operations for further information.</w:t>
      </w:r>
    </w:p>
    <w:p>
      <w:pPr>
        <w:spacing w:after="0" w:line="37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65"/>
          </w:cols>
          <w:pgMar w:left="315" w:top="120" w:right="31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NON-GAAP MEASURES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4946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3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This Supplement includes presentations of Adjusted EBITDA, Adjusted Funds from Operations ("AFFO"), including per share amounts, Funds from Operations ("FFO"), including per share amounts, Organic Contribution to Site Rental Billings, including as Adjusted for Impact of Sprint Cancellations, Segment Adjusted Site Rental Gross Margin, Segment Adjusted Services and Other Gross Margin, Net Debt, Net Debt to Last Quarter Annualized Adjusted EBITDA, Consolidated Return on Invested Capital and Segment Cash Yield on Invested Capital, which are non-GAAP financial measures. These non-GAAP financial measures are not intended as alternative measures of operating results or cash flow from operations (as determined in accordance with Generally Accepted Accounting Principles ("GAAP")).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non-GAAP financial measures may not be comparable to similarly titled measures of other companies, including other companies in the communications infrastructure sector or other REITs.</w:t>
      </w:r>
    </w:p>
    <w:p>
      <w:pPr>
        <w:spacing w:after="0" w:line="147"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In addition to the non-GAAP financial measures used herein, we also provide segment operating profit (loss), which is a key measure used by management to evaluate our operating segments. This segment measure is provided pursuant to GAAP requirements related to segment reporting. In addition, we provide the components of certain GAAP measures, such as site rental revenues and capital expenditures.</w:t>
      </w:r>
    </w:p>
    <w:p>
      <w:pPr>
        <w:spacing w:after="0" w:line="101"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4"/>
          <w:szCs w:val="14"/>
          <w:color w:val="auto"/>
        </w:rPr>
        <w:t>Our non-GAAP financial measures are presented as additional information because management believes these measures are useful indicators of the financial performance of our business. Among other things, management believes that:</w:t>
      </w:r>
    </w:p>
    <w:p>
      <w:pPr>
        <w:spacing w:after="0" w:line="84" w:lineRule="exact"/>
        <w:rPr>
          <w:sz w:val="20"/>
          <w:szCs w:val="20"/>
          <w:color w:val="auto"/>
        </w:rPr>
      </w:pPr>
    </w:p>
    <w:p>
      <w:pPr>
        <w:jc w:val="both"/>
        <w:ind w:left="560" w:hanging="282"/>
        <w:spacing w:after="0" w:line="259" w:lineRule="auto"/>
        <w:tabs>
          <w:tab w:leader="none" w:pos="55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useful to investors or other interested parties in evaluating our financial performance. Adjusted EBITDA is the primary measure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communications infrastructure sector and other REITs to measure financial performance without regard to items such as depreciation, amortization and accretion, which can vary depending upon accounting methods and the book value of assets. In addition, Adjusted EBITDA is similar to the measure of current financial performance generally used in our debt covenant calculations. Adjusted EBITDA should be considered only as a supplement to net income (loss) computed in accordance with GAAP as a measure of our performance.</w:t>
      </w:r>
    </w:p>
    <w:p>
      <w:pPr>
        <w:spacing w:after="0" w:line="112" w:lineRule="exact"/>
        <w:rPr>
          <w:rFonts w:ascii="Times New Roman" w:cs="Times New Roman" w:eastAsia="Times New Roman" w:hAnsi="Times New Roman"/>
          <w:sz w:val="14"/>
          <w:szCs w:val="14"/>
          <w:color w:val="auto"/>
        </w:rPr>
      </w:pPr>
    </w:p>
    <w:p>
      <w:pPr>
        <w:jc w:val="both"/>
        <w:ind w:left="560" w:hanging="282"/>
        <w:spacing w:after="0" w:line="259" w:lineRule="auto"/>
        <w:tabs>
          <w:tab w:leader="none" w:pos="55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revenues or expenses are recognized on a straight-lined basis over the fixed, non-cancelable term of the contract.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w:t>
      </w:r>
    </w:p>
    <w:p>
      <w:pPr>
        <w:spacing w:after="0" w:line="112" w:lineRule="exact"/>
        <w:rPr>
          <w:rFonts w:ascii="Times New Roman" w:cs="Times New Roman" w:eastAsia="Times New Roman" w:hAnsi="Times New Roman"/>
          <w:sz w:val="14"/>
          <w:szCs w:val="14"/>
          <w:color w:val="auto"/>
        </w:rPr>
      </w:pPr>
    </w:p>
    <w:p>
      <w:pPr>
        <w:jc w:val="both"/>
        <w:ind w:left="560" w:right="20" w:hanging="282"/>
        <w:spacing w:after="0" w:line="264" w:lineRule="auto"/>
        <w:tabs>
          <w:tab w:leader="none" w:pos="55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w:t>
      </w:r>
    </w:p>
    <w:p>
      <w:pPr>
        <w:spacing w:after="0" w:line="108" w:lineRule="exact"/>
        <w:rPr>
          <w:rFonts w:ascii="Times New Roman" w:cs="Times New Roman" w:eastAsia="Times New Roman" w:hAnsi="Times New Roman"/>
          <w:sz w:val="14"/>
          <w:szCs w:val="14"/>
          <w:color w:val="auto"/>
        </w:rPr>
      </w:pPr>
    </w:p>
    <w:p>
      <w:pPr>
        <w:jc w:val="both"/>
        <w:ind w:left="560" w:hanging="282"/>
        <w:spacing w:after="0" w:line="261" w:lineRule="auto"/>
        <w:tabs>
          <w:tab w:leader="none" w:pos="55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Impact of Sprint Cancellations (including by line of business), which is outside of ordinary course, to provide further insight into our results of operations and underlying trends. Management believes that identifying the impact for Sprint Cancellations provides increased transparency and comparability across periods. Organic Contribution to Site Rental Billings (including as Adjusted for Impact of Sprint Cancellations) is not meant as an alternative measure of revenue and should be considered only as a supplement in understanding and assessing the performance of our site rental revenues computed in accordance with GAAP.</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60"/>
          </w:cols>
          <w:pgMar w:left="320" w:top="120"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both"/>
        <w:ind w:left="560" w:hanging="282"/>
        <w:spacing w:after="0" w:line="264" w:lineRule="auto"/>
        <w:tabs>
          <w:tab w:leader="none" w:pos="55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Site Rental Gross Margin and Segment Adjusted Services and Other Gross Margin are useful to investors or other interested parties in evaluating our financial performance. These measures are used by our management (1) to evaluate the economic productivity of our operating segments, (2) to identify underlying business trends that are impacting our performance, and (3) for purposes of making decisions about allocating resources to, and assessing the performance of, our operating segments. We also believe it helps investors and other interested parties meaningfully evaluate and compare the results of our operations from period to period.</w:t>
      </w:r>
    </w:p>
    <w:p>
      <w:pPr>
        <w:spacing w:after="0" w:line="119" w:lineRule="exact"/>
        <w:rPr>
          <w:rFonts w:ascii="Times New Roman" w:cs="Times New Roman" w:eastAsia="Times New Roman" w:hAnsi="Times New Roman"/>
          <w:sz w:val="14"/>
          <w:szCs w:val="14"/>
          <w:color w:val="auto"/>
        </w:rPr>
      </w:pPr>
    </w:p>
    <w:p>
      <w:pPr>
        <w:ind w:left="560" w:right="20" w:hanging="282"/>
        <w:spacing w:after="0" w:line="281" w:lineRule="auto"/>
        <w:tabs>
          <w:tab w:leader="none" w:pos="55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spacing w:after="0" w:line="96" w:lineRule="exact"/>
        <w:rPr>
          <w:rFonts w:ascii="Times New Roman" w:cs="Times New Roman" w:eastAsia="Times New Roman" w:hAnsi="Times New Roman"/>
          <w:sz w:val="14"/>
          <w:szCs w:val="14"/>
          <w:i w:val="1"/>
          <w:iCs w:val="1"/>
          <w:color w:val="auto"/>
        </w:rPr>
      </w:pPr>
    </w:p>
    <w:p>
      <w:pPr>
        <w:jc w:val="both"/>
        <w:ind w:left="560" w:right="20" w:hanging="282"/>
        <w:spacing w:after="0" w:line="270" w:lineRule="auto"/>
        <w:tabs>
          <w:tab w:leader="none" w:pos="55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Net Debt to Last Quarter Annualized Adjusted EBITDA is useful to investors or other interested parties, specifically credit rating agencies, in analyzing our operating performance in the context of targeted financial leverage. Management uses Net Debt to Last Quarter Annualized Adjusted EBITDA in assessing our leverage. Net Debt to Last Quarter Annualized Adjusted EBITDA is not meant as an alternative to GAAP measures such as debt and net income (loss) computed in accordance with GAAP. Net Debt to Last Quarter Annualized Adjusted EBITDA should be considered only as a supplement in understanding and assessing our leverage.</w:t>
      </w:r>
    </w:p>
    <w:p>
      <w:pPr>
        <w:spacing w:after="0" w:line="103" w:lineRule="exact"/>
        <w:rPr>
          <w:rFonts w:ascii="Times New Roman" w:cs="Times New Roman" w:eastAsia="Times New Roman" w:hAnsi="Times New Roman"/>
          <w:sz w:val="14"/>
          <w:szCs w:val="14"/>
          <w:i w:val="1"/>
          <w:iCs w:val="1"/>
          <w:color w:val="auto"/>
        </w:rPr>
      </w:pPr>
    </w:p>
    <w:p>
      <w:pPr>
        <w:jc w:val="both"/>
        <w:ind w:left="560" w:right="20" w:hanging="282"/>
        <w:spacing w:after="0" w:line="259" w:lineRule="auto"/>
        <w:tabs>
          <w:tab w:leader="none" w:pos="55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Return on Invested Capital and Segment Cash Yield on Invested Capital are useful to investors or other interested parties in evaluating the financial performance of our assets. Management believes that these metrics are useful in assessing our efficiency at allocating capital to generate returns over time. Consolidated Return on Invested Capital and Segment Cash Yield on Invested Capital are not meant as alternatives to GAAP measures such as revenues, operating income, segment operating profit (loss), and certain asset classes (such as property and equipment, site rental contracts and tenant relationships, and goodwill) computed in accordance with GAAP. Such non-GAAP metrics should be considered only as a supplement in understanding and assessing the performance of our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Non-GAAP Financial Measures</w:t>
      </w:r>
    </w:p>
    <w:p>
      <w:pPr>
        <w:spacing w:after="0" w:line="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We define Adjusted EBITDA as net income (loss) plus restructuring charges (credits), asset write-down charges, goodwill impairment charges, acquisition and integration costs,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net (income) loss from discontinued operations, (gain) loss on sale of discontinued operations, cumulative effect of a change in accounting principle and stock-based compensation expense, net.</w:t>
      </w:r>
    </w:p>
    <w:p>
      <w:pPr>
        <w:spacing w:after="0" w:line="5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AFFO. </w:t>
      </w:r>
      <w:r>
        <w:rPr>
          <w:rFonts w:ascii="Times New Roman" w:cs="Times New Roman" w:eastAsia="Times New Roman" w:hAnsi="Times New Roman"/>
          <w:sz w:val="14"/>
          <w:szCs w:val="14"/>
          <w:color w:val="auto"/>
        </w:rPr>
        <w:t>We define AFFO as FFO before straight-lined revenues, straight-lined expenses, stock-based compensation expense, net, non-cash portion of tax provision, non-real estate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AFFO per share. </w:t>
      </w:r>
      <w:r>
        <w:rPr>
          <w:rFonts w:ascii="Times New Roman" w:cs="Times New Roman" w:eastAsia="Times New Roman" w:hAnsi="Times New Roman"/>
          <w:sz w:val="14"/>
          <w:szCs w:val="14"/>
          <w:color w:val="auto"/>
        </w:rPr>
        <w:t>We define AFFO per share as AFFO divided by diluted weighted-average common shares outstanding.</w:t>
      </w:r>
    </w:p>
    <w:p>
      <w:pPr>
        <w:spacing w:after="0" w:line="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FFO. </w:t>
      </w:r>
      <w:r>
        <w:rPr>
          <w:rFonts w:ascii="Times New Roman" w:cs="Times New Roman" w:eastAsia="Times New Roman" w:hAnsi="Times New Roman"/>
          <w:sz w:val="14"/>
          <w:szCs w:val="14"/>
          <w:color w:val="auto"/>
        </w:rPr>
        <w:t>We define FFO as net income (loss) plus real estate related depreciation, amortization and accretion, asset write-down charges, goodwill impairment charges, and net (income) loss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discontinued operations, less noncontrolling interest and cash paid for preferred stock dividends (in periods where applicable), and is a measure of funds from operations attributable to common stockholders.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FFO per share. </w:t>
      </w:r>
      <w:r>
        <w:rPr>
          <w:rFonts w:ascii="Times New Roman" w:cs="Times New Roman" w:eastAsia="Times New Roman" w:hAnsi="Times New Roman"/>
          <w:sz w:val="14"/>
          <w:szCs w:val="14"/>
          <w:color w:val="auto"/>
        </w:rPr>
        <w:t>We define FFO per share as FFO divided by diluted weighted-average common shares outstanding.</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Organic Contribution to Site Rental Billings. </w:t>
      </w:r>
      <w:r>
        <w:rPr>
          <w:rFonts w:ascii="Times New Roman" w:cs="Times New Roman" w:eastAsia="Times New Roman" w:hAnsi="Times New Roman"/>
          <w:sz w:val="14"/>
          <w:szCs w:val="14"/>
          <w:color w:val="auto"/>
        </w:rPr>
        <w:t>We define Organic Contribution to Site Rental Billings (also referred to as organic growth) as the sum of the change in site rental revenues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core leasing activity, escalators and other billings, less non-renewals of tenant contracts and non-renewals associated with Sprint Cancellations. Additionally, Organic Contribution to Site Rental Billings as Adjusted for Impact of Sprint Cancellations reflects Organic Contribution to Site Rental Billings plus non-renewals associated with Sprint Cancellations (including by line of business).</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Net Debt. </w:t>
      </w:r>
      <w:r>
        <w:rPr>
          <w:rFonts w:ascii="Times New Roman" w:cs="Times New Roman" w:eastAsia="Times New Roman" w:hAnsi="Times New Roman"/>
          <w:sz w:val="14"/>
          <w:szCs w:val="14"/>
          <w:color w:val="auto"/>
        </w:rPr>
        <w:t>We define Net Debt as (1) debt and other long-term obligations and (2) current maturities of debt and other obligations, excluding unamortized adjustments, net; less cash and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equivalents and restricted cash and cash equivalents.</w:t>
      </w:r>
    </w:p>
    <w:p>
      <w:pPr>
        <w:spacing w:after="0" w:line="5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Net Debt to Last Quarter Annualized Adjusted EBITDA. </w:t>
      </w:r>
      <w:r>
        <w:rPr>
          <w:rFonts w:ascii="Times New Roman" w:cs="Times New Roman" w:eastAsia="Times New Roman" w:hAnsi="Times New Roman"/>
          <w:sz w:val="14"/>
          <w:szCs w:val="14"/>
          <w:color w:val="auto"/>
        </w:rPr>
        <w:t>We define Net Debt to Last Quarter Annualized Adjusted EBITDA as Net Debt divided by the most recent quarter's Adjusted EBITDA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multiplied by four.</w:t>
      </w:r>
    </w:p>
    <w:p>
      <w:pPr>
        <w:spacing w:after="0" w:line="4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Consolidated Invested Capital. </w:t>
      </w:r>
      <w:r>
        <w:rPr>
          <w:rFonts w:ascii="Times New Roman" w:cs="Times New Roman" w:eastAsia="Times New Roman" w:hAnsi="Times New Roman"/>
          <w:sz w:val="14"/>
          <w:szCs w:val="14"/>
          <w:color w:val="auto"/>
        </w:rPr>
        <w:t>We define Consolidated Invested Capital as the historical gross investment in (1) property and equipment (excluding the impact of construction in process and write-offs), (2) site rental contracts and tenant relationships and (3) goodwill (excluding impairment charges).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Consolidated Return on Invested Capital. </w:t>
      </w:r>
      <w:r>
        <w:rPr>
          <w:rFonts w:ascii="Times New Roman" w:cs="Times New Roman" w:eastAsia="Times New Roman" w:hAnsi="Times New Roman"/>
          <w:sz w:val="14"/>
          <w:szCs w:val="14"/>
          <w:color w:val="auto"/>
        </w:rPr>
        <w:t>We define Consolidated Return on Invested Capital as Adjusted EBITDA less cash taxes paid divided by Consolidated Invested Capital.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60"/>
          </w:cols>
          <w:pgMar w:left="320" w:top="120"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Segment Net Invested Capital. </w:t>
      </w:r>
      <w:r>
        <w:rPr>
          <w:rFonts w:ascii="Times New Roman" w:cs="Times New Roman" w:eastAsia="Times New Roman" w:hAnsi="Times New Roman"/>
          <w:sz w:val="14"/>
          <w:szCs w:val="14"/>
          <w:color w:val="auto"/>
        </w:rPr>
        <w:t>We define Segment Net Invested Capital as the investment in (1) property and equipment, excluding the impact of construction in process and non-productive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as information technology assets and buildings) and write-offs, reduced by the amount of prepaid rent received from tenants (excluding any deferred credits recorded in connection with acquisitions), (2) site rental contracts and tenant relationships, and (3) goodwill, excluding the impact of certain assets and liabilities recorded in connection with acquisitions (primarily deferred credits) and impairment charges.</w:t>
      </w:r>
    </w:p>
    <w:p>
      <w:pPr>
        <w:spacing w:after="0" w:line="7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Segment Cash Yield on Invested Capital. </w:t>
      </w:r>
      <w:r>
        <w:rPr>
          <w:rFonts w:ascii="Times New Roman" w:cs="Times New Roman" w:eastAsia="Times New Roman" w:hAnsi="Times New Roman"/>
          <w:sz w:val="14"/>
          <w:szCs w:val="14"/>
          <w:color w:val="auto"/>
        </w:rPr>
        <w:t>We define Segment Cash Yield on Invested Capital as Segment Adjusted Site Rental Gross Margin adjusted for the impacts of (1) amortization of prepaid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rent, (2) straight-lined revenues, (3) straight-lined expenses and (4) indirect labor costs related to the Fiber segment divided by Segment Net Invested Capital.</w:t>
      </w:r>
    </w:p>
    <w:p>
      <w:pPr>
        <w:spacing w:after="0" w:line="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Segment Adjusted Site Rental Gross Margin. </w:t>
      </w:r>
      <w:r>
        <w:rPr>
          <w:rFonts w:ascii="Times New Roman" w:cs="Times New Roman" w:eastAsia="Times New Roman" w:hAnsi="Times New Roman"/>
          <w:sz w:val="14"/>
          <w:szCs w:val="14"/>
          <w:color w:val="auto"/>
        </w:rPr>
        <w:t>We define Segment Adjusted Site Rental Gross Margin as segment site rental revenues less segment site rental costs of operations, excluding stock-based compensation expense, net and amortization of prepaid lease purchase price adjustments recorded in consolidated site rental costs of operations. This segment measure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i w:val="1"/>
          <w:iCs w:val="1"/>
          <w:color w:val="auto"/>
        </w:rPr>
        <w:t>Segment Adjusted Services and Other Gross Margin</w:t>
      </w:r>
      <w:r>
        <w:rPr>
          <w:rFonts w:ascii="Times New Roman" w:cs="Times New Roman" w:eastAsia="Times New Roman" w:hAnsi="Times New Roman"/>
          <w:sz w:val="14"/>
          <w:szCs w:val="14"/>
          <w:color w:val="auto"/>
        </w:rPr>
        <w:t>. We define Segment Adjusted Services and Other Gross Margin as segment services and other revenues less segment services and other costs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excluding stock-based compensation expense, net recorded in consolidated services and other costs of operations. This segment measure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2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Segment operating profit (loss). </w:t>
      </w:r>
      <w:r>
        <w:rPr>
          <w:rFonts w:ascii="Times New Roman" w:cs="Times New Roman" w:eastAsia="Times New Roman" w:hAnsi="Times New Roman"/>
          <w:sz w:val="14"/>
          <w:szCs w:val="14"/>
          <w:color w:val="auto"/>
        </w:rPr>
        <w:t>We define segment operating profit (loss) as segment site rental revenues plus segment services and other revenues, less segment site rental costs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services and other costs of operations, and segment selling, general and administrative expenses, each of which excludes stock-based compensation, net, and prepaid lease purchase price adjustments, which are recorded in the respective consolidated figures. This measurement of profit or loss is exclusive of depreciation, amortization and accretion, which are shown separately. Additionally, certain costs are shared across segments and are reflected in our segment measures through allocations that management believes to be reasonable.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Other Information</w:t>
      </w:r>
    </w:p>
    <w:p>
      <w:pPr>
        <w:spacing w:after="0" w:line="9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i w:val="1"/>
          <w:iCs w:val="1"/>
          <w:color w:val="auto"/>
        </w:rPr>
        <w:t xml:space="preserve">Site rental billings. </w:t>
      </w:r>
      <w:r>
        <w:rPr>
          <w:rFonts w:ascii="Times New Roman" w:cs="Times New Roman" w:eastAsia="Times New Roman" w:hAnsi="Times New Roman"/>
          <w:sz w:val="14"/>
          <w:szCs w:val="14"/>
          <w:color w:val="auto"/>
        </w:rPr>
        <w:t>We define site rental billings as site rental revenues exclusive of the impacts from (1) straight-lined revenues, (2) amortization of prepaid rent in accordance with GAAP,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contribution from recent acquisitions until the one-year anniversary of such acquisitions and (4) other revenues, such as tenant cancellation fees, pass-through taxes, finance charges and other items.</w:t>
      </w:r>
    </w:p>
    <w:p>
      <w:pPr>
        <w:spacing w:after="0" w:line="3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i w:val="1"/>
          <w:iCs w:val="1"/>
          <w:color w:val="auto"/>
        </w:rPr>
        <w:t>Core leasing activity</w:t>
      </w:r>
      <w:r>
        <w:rPr>
          <w:rFonts w:ascii="Times New Roman" w:cs="Times New Roman" w:eastAsia="Times New Roman" w:hAnsi="Times New Roman"/>
          <w:sz w:val="14"/>
          <w:szCs w:val="14"/>
          <w:color w:val="auto"/>
        </w:rPr>
        <w:t>. We define core leasing activity as site rental revenues growth from tenant additions across our entire portfolio and renewals or extensions of tenant contracts, exclusive of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impacts from both straight-lined revenues and amortization of prepaid rent in accordance with GAAP and (2) other revenues, including payments for Sprint Cancellations, where applicable.</w:t>
      </w:r>
    </w:p>
    <w:p>
      <w:pPr>
        <w:spacing w:after="0" w:line="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Other billings</w:t>
      </w:r>
      <w:r>
        <w:rPr>
          <w:rFonts w:ascii="Times New Roman" w:cs="Times New Roman" w:eastAsia="Times New Roman" w:hAnsi="Times New Roman"/>
          <w:sz w:val="14"/>
          <w:szCs w:val="14"/>
          <w:color w:val="auto"/>
        </w:rPr>
        <w:t>. We define other billings as the growth or reduction in site rental revenues as a result of non-recurring contractual billings and adjustments, expense recoveries, sales credits and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amounts not captured in core leasing activity.</w:t>
      </w:r>
    </w:p>
    <w:p>
      <w:pPr>
        <w:spacing w:after="0" w:line="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i w:val="1"/>
          <w:iCs w:val="1"/>
          <w:color w:val="auto"/>
        </w:rPr>
        <w:t>Non-renewals</w:t>
      </w:r>
      <w:r>
        <w:rPr>
          <w:rFonts w:ascii="Times New Roman" w:cs="Times New Roman" w:eastAsia="Times New Roman" w:hAnsi="Times New Roman"/>
          <w:sz w:val="14"/>
          <w:szCs w:val="14"/>
          <w:color w:val="auto"/>
        </w:rPr>
        <w:t>. We define non-renewals of tenant contracts as the reduction in site rental revenues as a result of tenant churn, terminations and, in limited circumstances, reductions of existing 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exclusive of non-renewals associated with Sprint Cancellations, where applicable.</w:t>
      </w:r>
    </w:p>
    <w:p>
      <w:pPr>
        <w:spacing w:after="0" w:line="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Discretionary capital expenditures. </w:t>
      </w:r>
      <w:r>
        <w:rPr>
          <w:rFonts w:ascii="Times New Roman" w:cs="Times New Roman" w:eastAsia="Times New Roman" w:hAnsi="Times New Roman"/>
          <w:sz w:val="14"/>
          <w:szCs w:val="14"/>
          <w:color w:val="auto"/>
        </w:rPr>
        <w:t>We define discretionary capital expenditures as those capital expenditures made with respect to activities which we believe exhibit sufficient potential to enhance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long-term stockholder value. They primarily consist of expansion or development of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spacing w:after="0" w:line="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Sustaining capital expenditures. </w:t>
      </w:r>
      <w:r>
        <w:rPr>
          <w:rFonts w:ascii="Times New Roman" w:cs="Times New Roman" w:eastAsia="Times New Roman" w:hAnsi="Times New Roman"/>
          <w:sz w:val="14"/>
          <w:szCs w:val="14"/>
          <w:color w:val="auto"/>
        </w:rPr>
        <w:t>We define sustaining capital expenditures as those capital expenditures not otherwise categorized as discretionary capital expenditures, such as (1) maintenance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expenditures on our communications infrastructure assets that enable our tenants' ongoing quiet enjoyment of the communications infrastructure and (2) ordinary corporate capital expenditures.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Sprint Cancellations. </w:t>
      </w:r>
      <w:r>
        <w:rPr>
          <w:rFonts w:ascii="Times New Roman" w:cs="Times New Roman" w:eastAsia="Times New Roman" w:hAnsi="Times New Roman"/>
          <w:sz w:val="14"/>
          <w:szCs w:val="14"/>
          <w:color w:val="auto"/>
        </w:rPr>
        <w:t>We define Sprint Cancellations as lease cancellations related to the previously disclosed T-Mobile US, Inc. and Sprint network consolidation as described in our press release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dated April 19, 2023.</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60"/>
          </w:cols>
          <w:pgMar w:left="320" w:top="120" w:right="319" w:bottom="1440" w:gutter="0" w:footer="0" w:header="0"/>
        </w:sectPr>
      </w:pPr>
    </w:p>
    <w:bookmarkStart w:id="67" w:name="page68"/>
    <w:bookmarkEnd w:id="67"/>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59"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Historical Adjusted EBITDA:</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39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72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8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20" w:type="dxa"/>
            <w:vAlign w:val="bottom"/>
            <w:tcBorders>
              <w:top w:val="single" w:sz="8" w:color="auto"/>
            </w:tcBorders>
            <w:shd w:val="clear" w:color="auto" w:fill="DBDBDB"/>
          </w:tcPr>
          <w:p>
            <w:pPr>
              <w:spacing w:after="0"/>
              <w:rPr>
                <w:sz w:val="13"/>
                <w:szCs w:val="13"/>
                <w:color w:val="auto"/>
              </w:rPr>
            </w:pPr>
          </w:p>
        </w:tc>
        <w:tc>
          <w:tcPr>
            <w:tcW w:w="32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4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180" w:type="dxa"/>
            <w:vAlign w:val="bottom"/>
            <w:tcBorders>
              <w:top w:val="single" w:sz="8" w:color="auto"/>
            </w:tcBorders>
            <w:shd w:val="clear" w:color="auto" w:fill="DBDBDB"/>
          </w:tcPr>
          <w:p>
            <w:pPr>
              <w:spacing w:after="0"/>
              <w:rPr>
                <w:sz w:val="13"/>
                <w:szCs w:val="13"/>
                <w:color w:val="auto"/>
              </w:rPr>
            </w:pPr>
          </w:p>
        </w:tc>
        <w:tc>
          <w:tcPr>
            <w:tcW w:w="5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440" w:type="dxa"/>
            <w:vAlign w:val="bottom"/>
            <w:tcBorders>
              <w:top w:val="single" w:sz="8" w:color="auto"/>
            </w:tcBorders>
            <w:gridSpan w:val="5"/>
            <w:shd w:val="clear" w:color="auto" w:fill="DBDBDB"/>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9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gridSpan w:val="3"/>
            <w:vMerge w:val="continue"/>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2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gridSpan w:val="3"/>
            <w:vMerge w:val="continue"/>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gridSpan w:val="4"/>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9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6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Borders>
              <w:bottom w:val="single" w:sz="8" w:color="auto"/>
            </w:tcBorders>
            <w:shd w:val="clear" w:color="auto" w:fill="DBDBDB"/>
          </w:tcPr>
          <w:p>
            <w:pPr>
              <w:spacing w:after="0"/>
              <w:rPr>
                <w:sz w:val="15"/>
                <w:szCs w:val="15"/>
                <w:color w:val="auto"/>
              </w:rPr>
            </w:pPr>
          </w:p>
        </w:tc>
        <w:tc>
          <w:tcPr>
            <w:tcW w:w="48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420" w:type="dxa"/>
            <w:vAlign w:val="bottom"/>
            <w:tcBorders>
              <w:bottom w:val="single" w:sz="8" w:color="auto"/>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Q2</w:t>
            </w:r>
          </w:p>
        </w:tc>
        <w:tc>
          <w:tcPr>
            <w:tcW w:w="4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92"/>
        </w:trPr>
        <w:tc>
          <w:tcPr>
            <w:tcW w:w="39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net income (loss)</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spacing w:after="0"/>
              <w:rPr>
                <w:sz w:val="16"/>
                <w:szCs w:val="16"/>
                <w:color w:val="auto"/>
              </w:rPr>
            </w:pP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Asset write-down charges</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2"/>
        </w:trPr>
        <w:tc>
          <w:tcPr>
            <w:tcW w:w="3980" w:type="dxa"/>
            <w:vAlign w:val="bottom"/>
            <w:shd w:val="clear" w:color="auto" w:fill="DBE5F1"/>
          </w:tcPr>
          <w:p>
            <w:pPr>
              <w:ind w:left="200"/>
              <w:spacing w:after="0" w:line="192"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6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6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6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8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0" w:type="dxa"/>
            <w:vAlign w:val="bottom"/>
          </w:tcPr>
          <w:p>
            <w:pPr>
              <w:spacing w:after="0"/>
              <w:rPr>
                <w:sz w:val="1"/>
                <w:szCs w:val="1"/>
                <w:color w:val="auto"/>
              </w:rPr>
            </w:pPr>
          </w:p>
        </w:tc>
      </w:tr>
      <w:tr>
        <w:trPr>
          <w:trHeight w:val="187"/>
        </w:trPr>
        <w:tc>
          <w:tcPr>
            <w:tcW w:w="3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0" w:type="dxa"/>
            <w:vAlign w:val="bottom"/>
          </w:tcPr>
          <w:p>
            <w:pPr>
              <w:spacing w:after="0"/>
              <w:rPr>
                <w:sz w:val="1"/>
                <w:szCs w:val="1"/>
                <w:color w:val="auto"/>
              </w:rPr>
            </w:pPr>
          </w:p>
        </w:tc>
      </w:tr>
      <w:tr>
        <w:trPr>
          <w:trHeight w:val="189"/>
        </w:trPr>
        <w:tc>
          <w:tcPr>
            <w:tcW w:w="3980" w:type="dxa"/>
            <w:vAlign w:val="bottom"/>
          </w:tcPr>
          <w:p>
            <w:pPr>
              <w:ind w:left="200"/>
              <w:spacing w:after="0" w:line="189"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(b)</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9"/>
        </w:trPr>
        <w:tc>
          <w:tcPr>
            <w:tcW w:w="39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Amortization of prepaid lease purchase price adjustments</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398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Interest expense and amortization of deferred financing costs,</w:t>
            </w: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189"/>
        </w:trPr>
        <w:tc>
          <w:tcPr>
            <w:tcW w:w="3980" w:type="dxa"/>
            <w:vAlign w:val="bottom"/>
          </w:tcPr>
          <w:p>
            <w:pPr>
              <w:ind w:left="340"/>
              <w:spacing w:after="0" w:line="190" w:lineRule="exact"/>
              <w:rPr>
                <w:sz w:val="20"/>
                <w:szCs w:val="20"/>
                <w:color w:val="auto"/>
              </w:rPr>
            </w:pPr>
            <w:r>
              <w:rPr>
                <w:rFonts w:ascii="Times New Roman" w:cs="Times New Roman" w:eastAsia="Times New Roman" w:hAnsi="Times New Roman"/>
                <w:sz w:val="21"/>
                <w:szCs w:val="21"/>
                <w:color w:val="auto"/>
                <w:vertAlign w:val="subscript"/>
              </w:rPr>
              <w:t>net</w:t>
            </w:r>
            <w:r>
              <w:rPr>
                <w:rFonts w:ascii="Times New Roman" w:cs="Times New Roman" w:eastAsia="Times New Roman" w:hAnsi="Times New Roman"/>
                <w:sz w:val="8"/>
                <w:szCs w:val="8"/>
                <w:color w:val="auto"/>
              </w:rPr>
              <w:t>(c)</w:t>
            </w: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7"/>
        </w:trPr>
        <w:tc>
          <w:tcPr>
            <w:tcW w:w="3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2"/>
        </w:trPr>
        <w:tc>
          <w:tcPr>
            <w:tcW w:w="398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5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7"/>
        </w:trPr>
        <w:tc>
          <w:tcPr>
            <w:tcW w:w="3980" w:type="dxa"/>
            <w:vAlign w:val="bottom"/>
            <w:tcBorders>
              <w:bottom w:val="single" w:sz="8" w:color="DBE5F1"/>
            </w:tcBorders>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DBE5F1"/>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8"/>
        </w:trPr>
        <w:tc>
          <w:tcPr>
            <w:tcW w:w="3980" w:type="dxa"/>
            <w:vAlign w:val="bottom"/>
            <w:tcBorders>
              <w:bottom w:val="single" w:sz="8" w:color="DBE5F1"/>
            </w:tcBorders>
            <w:shd w:val="clear" w:color="auto" w:fill="DBE5F1"/>
          </w:tcPr>
          <w:p>
            <w:pPr>
              <w:ind w:left="200"/>
              <w:spacing w:after="0" w:line="183"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8"/>
                <w:szCs w:val="18"/>
                <w:b w:val="1"/>
                <w:bCs w:val="1"/>
                <w:color w:val="auto"/>
                <w:vertAlign w:val="superscript"/>
              </w:rPr>
              <w:t>(d)(e)</w:t>
            </w: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1,104</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1,188</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1,047</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1,076</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1,036</w:t>
            </w:r>
          </w:p>
        </w:tc>
        <w:tc>
          <w:tcPr>
            <w:tcW w:w="10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1,006</w:t>
            </w:r>
          </w:p>
        </w:tc>
        <w:tc>
          <w:tcPr>
            <w:tcW w:w="40" w:type="dxa"/>
            <w:vAlign w:val="bottom"/>
            <w:tcBorders>
              <w:bottom w:val="single" w:sz="8" w:color="auto"/>
            </w:tcBorders>
            <w:shd w:val="clear" w:color="auto" w:fill="DBE5F1"/>
          </w:tcPr>
          <w:p>
            <w:pPr>
              <w:spacing w:after="0"/>
              <w:rPr>
                <w:sz w:val="17"/>
                <w:szCs w:val="17"/>
                <w:color w:val="auto"/>
              </w:rPr>
            </w:pP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1,075</w:t>
            </w: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1,044</w:t>
            </w:r>
          </w:p>
        </w:tc>
        <w:tc>
          <w:tcPr>
            <w:tcW w:w="80" w:type="dxa"/>
            <w:vAlign w:val="bottom"/>
            <w:tcBorders>
              <w:bottom w:val="single" w:sz="8" w:color="DBE5F1"/>
            </w:tcBorders>
            <w:shd w:val="clear" w:color="auto" w:fill="DBE5F1"/>
          </w:tcPr>
          <w:p>
            <w:pPr>
              <w:spacing w:after="0"/>
              <w:rPr>
                <w:sz w:val="17"/>
                <w:szCs w:val="17"/>
                <w:color w:val="auto"/>
              </w:rPr>
            </w:pPr>
          </w:p>
        </w:tc>
        <w:tc>
          <w:tcPr>
            <w:tcW w:w="1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4,415</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4,161</w:t>
            </w:r>
          </w:p>
        </w:tc>
        <w:tc>
          <w:tcPr>
            <w:tcW w:w="0" w:type="dxa"/>
            <w:vAlign w:val="bottom"/>
          </w:tcPr>
          <w:p>
            <w:pPr>
              <w:spacing w:after="0"/>
              <w:rPr>
                <w:sz w:val="1"/>
                <w:szCs w:val="1"/>
                <w:color w:val="auto"/>
              </w:rPr>
            </w:pPr>
          </w:p>
        </w:tc>
      </w:tr>
      <w:tr>
        <w:trPr>
          <w:trHeight w:val="20"/>
        </w:trPr>
        <w:tc>
          <w:tcPr>
            <w:tcW w:w="39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20" w:type="dxa"/>
            <w:vAlign w:val="bottom"/>
            <w:tcBorders>
              <w:top w:val="single" w:sz="8" w:color="DBE5F1"/>
              <w:bottom w:val="single" w:sz="8" w:color="auto"/>
            </w:tcBorders>
          </w:tcPr>
          <w:p>
            <w:pPr>
              <w:spacing w:after="0" w:line="20" w:lineRule="exact"/>
              <w:rPr>
                <w:sz w:val="1"/>
                <w:szCs w:val="1"/>
                <w:color w:val="auto"/>
              </w:rPr>
            </w:pPr>
          </w:p>
        </w:tc>
        <w:tc>
          <w:tcPr>
            <w:tcW w:w="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5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bottom w:val="single" w:sz="8" w:color="auto"/>
            </w:tcBorders>
          </w:tcPr>
          <w:p>
            <w:pPr>
              <w:spacing w:after="0" w:line="20" w:lineRule="exact"/>
              <w:rPr>
                <w:sz w:val="1"/>
                <w:szCs w:val="1"/>
                <w:color w:val="auto"/>
              </w:rPr>
            </w:pPr>
          </w:p>
        </w:tc>
        <w:tc>
          <w:tcPr>
            <w:tcW w:w="5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58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Outlook for Adjusted EBITDA:</w:t>
      </w:r>
    </w:p>
    <w:p>
      <w:pPr>
        <w:spacing w:after="0" w:line="165" w:lineRule="exact"/>
        <w:rPr>
          <w:sz w:val="20"/>
          <w:szCs w:val="20"/>
          <w:color w:val="auto"/>
        </w:rPr>
      </w:pPr>
    </w:p>
    <w:tbl>
      <w:tblPr>
        <w:tblLayout w:type="fixed"/>
        <w:tblInd w:w="25" w:type="dxa"/>
        <w:tblCellMar>
          <w:top w:w="0" w:type="dxa"/>
          <w:left w:w="0" w:type="dxa"/>
          <w:bottom w:w="0" w:type="dxa"/>
          <w:right w:w="0" w:type="dxa"/>
        </w:tblCellMar>
      </w:tblPr>
      <w:tr>
        <w:trPr>
          <w:trHeight w:val="201"/>
        </w:trPr>
        <w:tc>
          <w:tcPr>
            <w:tcW w:w="8660" w:type="dxa"/>
            <w:vAlign w:val="bottom"/>
            <w:tcBorders>
              <w:top w:val="single" w:sz="8" w:color="auto"/>
              <w:bottom w:val="single" w:sz="8" w:color="auto"/>
            </w:tcBorders>
            <w:shd w:val="clear" w:color="auto" w:fill="DDDDDD"/>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2540" w:type="dxa"/>
            <w:vAlign w:val="bottom"/>
            <w:tcBorders>
              <w:top w:val="single" w:sz="8" w:color="auto"/>
              <w:bottom w:val="single" w:sz="8" w:color="auto"/>
            </w:tcBorders>
            <w:gridSpan w:val="3"/>
            <w:shd w:val="clear" w:color="auto" w:fill="DDDDDD"/>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8"/>
              </w:rPr>
              <w:t>Full Year 2025 Outlook</w:t>
            </w:r>
            <w:r>
              <w:rPr>
                <w:rFonts w:ascii="Times New Roman" w:cs="Times New Roman" w:eastAsia="Times New Roman" w:hAnsi="Times New Roman"/>
                <w:sz w:val="18"/>
                <w:szCs w:val="18"/>
                <w:b w:val="1"/>
                <w:bCs w:val="1"/>
                <w:color w:val="auto"/>
                <w:w w:val="98"/>
                <w:vertAlign w:val="superscript"/>
              </w:rPr>
              <w:t>(i)</w:t>
            </w:r>
          </w:p>
        </w:tc>
      </w:tr>
      <w:tr>
        <w:trPr>
          <w:trHeight w:val="181"/>
        </w:trPr>
        <w:tc>
          <w:tcPr>
            <w:tcW w:w="8660" w:type="dxa"/>
            <w:vAlign w:val="bottom"/>
            <w:shd w:val="clear" w:color="auto" w:fill="DBE5F1"/>
          </w:tcPr>
          <w:p>
            <w:pPr>
              <w:ind w:left="20"/>
              <w:spacing w:after="0" w:line="181" w:lineRule="exact"/>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8"/>
                <w:szCs w:val="18"/>
                <w:color w:val="auto"/>
                <w:vertAlign w:val="superscript"/>
              </w:rPr>
              <w:t>(f)</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$345</w:t>
            </w:r>
          </w:p>
        </w:tc>
      </w:tr>
      <w:tr>
        <w:trPr>
          <w:trHeight w:val="187"/>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net income (loss):</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Asset write-down charges</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8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w:t>
            </w:r>
          </w:p>
        </w:tc>
      </w:tr>
      <w:tr>
        <w:trPr>
          <w:trHeight w:val="192"/>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$773</w:t>
            </w:r>
          </w:p>
        </w:tc>
      </w:tr>
      <w:tr>
        <w:trPr>
          <w:trHeight w:val="187"/>
        </w:trPr>
        <w:tc>
          <w:tcPr>
            <w:tcW w:w="8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Restructuring charges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r>
      <w:tr>
        <w:trPr>
          <w:trHeight w:val="192"/>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Amortization of prepaid lease purchase price adjustments</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$16</w:t>
            </w:r>
          </w:p>
        </w:tc>
      </w:tr>
      <w:tr>
        <w:trPr>
          <w:trHeight w:val="189"/>
        </w:trPr>
        <w:tc>
          <w:tcPr>
            <w:tcW w:w="8660" w:type="dxa"/>
            <w:vAlign w:val="bottom"/>
          </w:tcPr>
          <w:p>
            <w:pPr>
              <w:ind w:left="200"/>
              <w:spacing w:after="0" w:line="189" w:lineRule="exact"/>
              <w:rPr>
                <w:sz w:val="20"/>
                <w:szCs w:val="20"/>
                <w:color w:val="auto"/>
              </w:rPr>
            </w:pPr>
            <w:r>
              <w:rPr>
                <w:rFonts w:ascii="Times New Roman" w:cs="Times New Roman" w:eastAsia="Times New Roman" w:hAnsi="Times New Roman"/>
                <w:sz w:val="14"/>
                <w:szCs w:val="14"/>
                <w:color w:val="auto"/>
              </w:rPr>
              <w:t>Interest expense and amortization of deferred financing costs, net</w:t>
            </w:r>
            <w:r>
              <w:rPr>
                <w:rFonts w:ascii="Times New Roman" w:cs="Times New Roman" w:eastAsia="Times New Roman" w:hAnsi="Times New Roman"/>
                <w:sz w:val="18"/>
                <w:szCs w:val="18"/>
                <w:color w:val="auto"/>
                <w:vertAlign w:val="superscript"/>
              </w:rPr>
              <w:t>(g)</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$1,027</w:t>
            </w:r>
          </w:p>
        </w:tc>
      </w:tr>
      <w:tr>
        <w:trPr>
          <w:trHeight w:val="189"/>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(Gains) losses on retirement of long-term obligations</w:t>
            </w:r>
          </w:p>
        </w:tc>
        <w:tc>
          <w:tcPr>
            <w:tcW w:w="116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92"/>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Other (income) expense</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$15</w:t>
            </w:r>
          </w:p>
        </w:tc>
      </w:tr>
      <w:tr>
        <w:trPr>
          <w:trHeight w:val="187"/>
        </w:trPr>
        <w:tc>
          <w:tcPr>
            <w:tcW w:w="8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w:t>
            </w:r>
          </w:p>
        </w:tc>
      </w:tr>
      <w:tr>
        <w:trPr>
          <w:trHeight w:val="192"/>
        </w:trPr>
        <w:tc>
          <w:tcPr>
            <w:tcW w:w="86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shd w:val="clear" w:color="auto" w:fill="DBE5F1"/>
          </w:tcPr>
          <w:p>
            <w:pPr>
              <w:ind w:left="60"/>
              <w:spacing w:after="0"/>
              <w:rPr>
                <w:sz w:val="20"/>
                <w:szCs w:val="20"/>
                <w:color w:val="auto"/>
              </w:rPr>
            </w:pPr>
            <w:r>
              <w:rPr>
                <w:rFonts w:ascii="Times New Roman" w:cs="Times New Roman" w:eastAsia="Times New Roman" w:hAnsi="Times New Roman"/>
                <w:sz w:val="14"/>
                <w:szCs w:val="14"/>
                <w:color w:val="auto"/>
              </w:rPr>
              <w:t>$97</w:t>
            </w:r>
          </w:p>
        </w:tc>
      </w:tr>
      <w:tr>
        <w:trPr>
          <w:trHeight w:val="284"/>
        </w:trPr>
        <w:tc>
          <w:tcPr>
            <w:tcW w:w="8660" w:type="dxa"/>
            <w:vAlign w:val="bottom"/>
            <w:tcBorders>
              <w:bottom w:val="single" w:sz="8" w:color="DBE5F1"/>
            </w:tcBorders>
          </w:tcPr>
          <w:p>
            <w:pPr>
              <w:ind w:left="200"/>
              <w:spacing w:after="0"/>
              <w:rPr>
                <w:sz w:val="20"/>
                <w:szCs w:val="20"/>
                <w:color w:val="auto"/>
              </w:rPr>
            </w:pPr>
            <w:r>
              <w:rPr>
                <w:rFonts w:ascii="Times New Roman" w:cs="Times New Roman" w:eastAsia="Times New Roman" w:hAnsi="Times New Roman"/>
                <w:sz w:val="14"/>
                <w:szCs w:val="14"/>
                <w:color w:val="auto"/>
              </w:rPr>
              <w:t>Net (income) loss from discontinued operations</w:t>
            </w:r>
            <w:r>
              <w:rPr>
                <w:rFonts w:ascii="Times New Roman" w:cs="Times New Roman" w:eastAsia="Times New Roman" w:hAnsi="Times New Roman"/>
                <w:sz w:val="18"/>
                <w:szCs w:val="18"/>
                <w:color w:val="auto"/>
                <w:vertAlign w:val="superscript"/>
              </w:rPr>
              <w:t>(h)</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$830</w:t>
            </w:r>
          </w:p>
        </w:tc>
      </w:tr>
      <w:tr>
        <w:trPr>
          <w:trHeight w:val="206"/>
        </w:trPr>
        <w:tc>
          <w:tcPr>
            <w:tcW w:w="8660" w:type="dxa"/>
            <w:vAlign w:val="bottom"/>
            <w:tcBorders>
              <w:bottom w:val="single" w:sz="8" w:color="DBE5F1"/>
            </w:tcBorders>
            <w:shd w:val="clear" w:color="auto" w:fill="DBE5F1"/>
          </w:tcPr>
          <w:p>
            <w:pPr>
              <w:ind w:left="200"/>
              <w:spacing w:after="0" w:line="181"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18"/>
                <w:szCs w:val="18"/>
                <w:b w:val="1"/>
                <w:bCs w:val="1"/>
                <w:color w:val="auto"/>
                <w:vertAlign w:val="superscript"/>
              </w:rPr>
              <w:t>(d)(e)</w:t>
            </w: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$2,755</w:t>
            </w:r>
          </w:p>
        </w:tc>
        <w:tc>
          <w:tcPr>
            <w:tcW w:w="24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b w:val="1"/>
                <w:bCs w:val="1"/>
                <w:color w:val="auto"/>
              </w:rPr>
              <w:t>to</w:t>
            </w:r>
          </w:p>
        </w:tc>
        <w:tc>
          <w:tcPr>
            <w:tcW w:w="1140" w:type="dxa"/>
            <w:vAlign w:val="bottom"/>
            <w:tcBorders>
              <w:bottom w:val="single" w:sz="8" w:color="auto"/>
            </w:tcBorders>
            <w:shd w:val="clear" w:color="auto" w:fill="DBE5F1"/>
          </w:tcPr>
          <w:p>
            <w:pPr>
              <w:ind w:left="60"/>
              <w:spacing w:after="0"/>
              <w:rPr>
                <w:sz w:val="20"/>
                <w:szCs w:val="20"/>
                <w:color w:val="auto"/>
              </w:rPr>
            </w:pPr>
            <w:r>
              <w:rPr>
                <w:rFonts w:ascii="Times New Roman" w:cs="Times New Roman" w:eastAsia="Times New Roman" w:hAnsi="Times New Roman"/>
                <w:sz w:val="14"/>
                <w:szCs w:val="14"/>
                <w:b w:val="1"/>
                <w:bCs w:val="1"/>
                <w:color w:val="auto"/>
              </w:rPr>
              <w:t>$2,805</w:t>
            </w:r>
          </w:p>
        </w:tc>
      </w:tr>
      <w:tr>
        <w:trPr>
          <w:trHeight w:val="20"/>
        </w:trPr>
        <w:tc>
          <w:tcPr>
            <w:tcW w:w="8660" w:type="dxa"/>
            <w:vAlign w:val="bottom"/>
            <w:tcBorders>
              <w:top w:val="single" w:sz="8" w:color="DBE5F1"/>
            </w:tcBorders>
          </w:tcPr>
          <w:p>
            <w:pPr>
              <w:spacing w:after="0" w:line="20" w:lineRule="exact"/>
              <w:rPr>
                <w:sz w:val="1"/>
                <w:szCs w:val="1"/>
                <w:color w:val="auto"/>
              </w:rPr>
            </w:pPr>
          </w:p>
        </w:tc>
        <w:tc>
          <w:tcPr>
            <w:tcW w:w="1160" w:type="dxa"/>
            <w:vAlign w:val="bottom"/>
            <w:tcBorders>
              <w:top w:val="single" w:sz="8" w:color="DBE5F1"/>
              <w:bottom w:val="single" w:sz="8" w:color="auto"/>
            </w:tcBorders>
          </w:tcPr>
          <w:p>
            <w:pPr>
              <w:spacing w:after="0" w:line="20" w:lineRule="exact"/>
              <w:rPr>
                <w:sz w:val="1"/>
                <w:szCs w:val="1"/>
                <w:color w:val="auto"/>
              </w:rPr>
            </w:pPr>
          </w:p>
        </w:tc>
        <w:tc>
          <w:tcPr>
            <w:tcW w:w="240" w:type="dxa"/>
            <w:vAlign w:val="bottom"/>
            <w:tcBorders>
              <w:top w:val="single" w:sz="8" w:color="DBE5F1"/>
              <w:bottom w:val="single" w:sz="8" w:color="auto"/>
            </w:tcBorders>
          </w:tcPr>
          <w:p>
            <w:pPr>
              <w:spacing w:after="0" w:line="20" w:lineRule="exact"/>
              <w:rPr>
                <w:sz w:val="1"/>
                <w:szCs w:val="1"/>
                <w:color w:val="auto"/>
              </w:rPr>
            </w:pPr>
          </w:p>
        </w:tc>
        <w:tc>
          <w:tcPr>
            <w:tcW w:w="1140" w:type="dxa"/>
            <w:vAlign w:val="bottom"/>
            <w:tcBorders>
              <w:top w:val="single" w:sz="8" w:color="DBE5F1"/>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14" w:lineRule="exact"/>
        <w:rPr>
          <w:rFonts w:ascii="Times New Roman" w:cs="Times New Roman" w:eastAsia="Times New Roman" w:hAnsi="Times New Roman"/>
          <w:sz w:val="13"/>
          <w:szCs w:val="13"/>
          <w:color w:val="auto"/>
        </w:rPr>
      </w:pPr>
    </w:p>
    <w:p>
      <w:pPr>
        <w:jc w:val="both"/>
        <w:ind w:left="285" w:right="20" w:hanging="285"/>
        <w:spacing w:after="0"/>
        <w:tabs>
          <w:tab w:leader="none" w:pos="27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twelve-month period ended December 31, 2024, there were $9 million and $100 million of restructuring charges related to the July 2023 Restructuring Plan and the June 2024 Restructuring Plan, respectively.</w:t>
      </w: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reconciliation of "</w:t>
      </w:r>
      <w:r>
        <w:rPr>
          <w:rFonts w:ascii="Times New Roman" w:cs="Times New Roman" w:eastAsia="Times New Roman" w:hAnsi="Times New Roman"/>
          <w:sz w:val="13"/>
          <w:szCs w:val="13"/>
          <w:i w:val="1"/>
          <w:iCs w:val="1"/>
          <w:color w:val="auto"/>
        </w:rPr>
        <w:t>Components of Interest Expense</w:t>
      </w:r>
      <w:r>
        <w:rPr>
          <w:rFonts w:ascii="Times New Roman" w:cs="Times New Roman" w:eastAsia="Times New Roman" w:hAnsi="Times New Roman"/>
          <w:sz w:val="13"/>
          <w:szCs w:val="13"/>
          <w:color w:val="auto"/>
        </w:rPr>
        <w:t>" for a discussion of non-cash interest expense.</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 of Adjusted EBITDA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 from discontinued operations.</w:t>
      </w: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the reconciliation of "</w:t>
      </w:r>
      <w:r>
        <w:rPr>
          <w:rFonts w:ascii="Times New Roman" w:cs="Times New Roman" w:eastAsia="Times New Roman" w:hAnsi="Times New Roman"/>
          <w:sz w:val="13"/>
          <w:szCs w:val="13"/>
          <w:i w:val="1"/>
          <w:iCs w:val="1"/>
          <w:color w:val="auto"/>
        </w:rPr>
        <w:t>Outlook for Components of Interest Expense</w:t>
      </w:r>
      <w:r>
        <w:rPr>
          <w:rFonts w:ascii="Times New Roman" w:cs="Times New Roman" w:eastAsia="Times New Roman" w:hAnsi="Times New Roman"/>
          <w:sz w:val="13"/>
          <w:szCs w:val="13"/>
          <w:color w:val="auto"/>
        </w:rPr>
        <w:t>" for a discussion of non-cash interest expense.</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spacing w:after="0" w:line="4" w:lineRule="exact"/>
        <w:rPr>
          <w:rFonts w:ascii="Times New Roman" w:cs="Times New Roman" w:eastAsia="Times New Roman" w:hAnsi="Times New Roman"/>
          <w:sz w:val="13"/>
          <w:szCs w:val="13"/>
          <w:color w:val="auto"/>
        </w:rPr>
      </w:pPr>
    </w:p>
    <w:p>
      <w:pPr>
        <w:ind w:left="265" w:hanging="265"/>
        <w:spacing w:after="0"/>
        <w:tabs>
          <w:tab w:leader="none" w:pos="26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65"/>
          </w:cols>
          <w:pgMar w:left="315" w:top="120" w:right="319" w:bottom="1440" w:gutter="0" w:footer="0" w:header="0"/>
        </w:sectPr>
      </w:pPr>
    </w:p>
    <w:bookmarkStart w:id="68" w:name="page69"/>
    <w:bookmarkEnd w:id="68"/>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59"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Historical FFO and AFFO:</w:t>
      </w:r>
    </w:p>
    <w:p>
      <w:pPr>
        <w:spacing w:after="0" w:line="165" w:lineRule="exact"/>
        <w:rPr>
          <w:sz w:val="20"/>
          <w:szCs w:val="20"/>
          <w:color w:val="auto"/>
        </w:rPr>
      </w:pPr>
    </w:p>
    <w:tbl>
      <w:tblPr>
        <w:tblLayout w:type="fixed"/>
        <w:tblInd w:w="65" w:type="dxa"/>
        <w:tblCellMar>
          <w:top w:w="0" w:type="dxa"/>
          <w:left w:w="0" w:type="dxa"/>
          <w:bottom w:w="0" w:type="dxa"/>
          <w:right w:w="0" w:type="dxa"/>
        </w:tblCellMar>
      </w:tblPr>
      <w:tr>
        <w:trPr>
          <w:trHeight w:val="154"/>
        </w:trPr>
        <w:tc>
          <w:tcPr>
            <w:tcW w:w="36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68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720" w:type="dxa"/>
            <w:vAlign w:val="bottom"/>
            <w:tcBorders>
              <w:top w:val="single" w:sz="8" w:color="auto"/>
            </w:tcBorders>
            <w:gridSpan w:val="3"/>
            <w:vMerge w:val="restart"/>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80" w:type="dxa"/>
            <w:vAlign w:val="bottom"/>
            <w:tcBorders>
              <w:top w:val="single" w:sz="8" w:color="auto"/>
            </w:tcBorders>
            <w:shd w:val="clear" w:color="auto" w:fill="DBDBDB"/>
          </w:tcPr>
          <w:p>
            <w:pPr>
              <w:spacing w:after="0"/>
              <w:rPr>
                <w:sz w:val="13"/>
                <w:szCs w:val="13"/>
                <w:color w:val="auto"/>
              </w:rPr>
            </w:pPr>
          </w:p>
        </w:tc>
        <w:tc>
          <w:tcPr>
            <w:tcW w:w="5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1640" w:type="dxa"/>
            <w:vAlign w:val="bottom"/>
            <w:tcBorders>
              <w:top w:val="single" w:sz="8" w:color="auto"/>
            </w:tcBorders>
            <w:gridSpan w:val="4"/>
            <w:shd w:val="clear" w:color="auto" w:fill="DBDBDB"/>
          </w:tcPr>
          <w:p>
            <w:pPr>
              <w:jc w:val="right"/>
              <w:ind w:right="149"/>
              <w:spacing w:after="0" w:line="154"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gridSpan w:val="3"/>
            <w:vMerge w:val="continue"/>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gridSpan w:val="3"/>
            <w:vMerge w:val="continue"/>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640" w:type="dxa"/>
            <w:vAlign w:val="bottom"/>
            <w:tcBorders>
              <w:bottom w:val="single" w:sz="8" w:color="auto"/>
            </w:tcBorders>
            <w:gridSpan w:val="4"/>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66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totals may not sum due to rounding)</w:t>
            </w:r>
          </w:p>
        </w:tc>
        <w:tc>
          <w:tcPr>
            <w:tcW w:w="14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8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Q2</w:t>
            </w:r>
          </w:p>
        </w:tc>
        <w:tc>
          <w:tcPr>
            <w:tcW w:w="14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Q3</w:t>
            </w:r>
          </w:p>
        </w:tc>
        <w:tc>
          <w:tcPr>
            <w:tcW w:w="140" w:type="dxa"/>
            <w:vAlign w:val="bottom"/>
            <w:tcBorders>
              <w:bottom w:val="single" w:sz="8" w:color="auto"/>
            </w:tcBorders>
            <w:shd w:val="clear" w:color="auto" w:fill="DBDBDB"/>
          </w:tcPr>
          <w:p>
            <w:pPr>
              <w:spacing w:after="0"/>
              <w:rPr>
                <w:sz w:val="15"/>
                <w:szCs w:val="15"/>
                <w:color w:val="auto"/>
              </w:rPr>
            </w:pPr>
          </w:p>
        </w:tc>
        <w:tc>
          <w:tcPr>
            <w:tcW w:w="46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6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Q2</w:t>
            </w:r>
          </w:p>
        </w:tc>
        <w:tc>
          <w:tcPr>
            <w:tcW w:w="18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Borders>
              <w:bottom w:val="single" w:sz="8" w:color="auto"/>
            </w:tcBorders>
            <w:shd w:val="clear" w:color="auto" w:fill="DBDBDB"/>
          </w:tcPr>
          <w:p>
            <w:pPr>
              <w:spacing w:after="0"/>
              <w:rPr>
                <w:sz w:val="15"/>
                <w:szCs w:val="15"/>
                <w:color w:val="auto"/>
              </w:rPr>
            </w:pPr>
          </w:p>
        </w:tc>
        <w:tc>
          <w:tcPr>
            <w:tcW w:w="5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Borders>
              <w:bottom w:val="single" w:sz="8" w:color="auto"/>
            </w:tcBorders>
            <w:shd w:val="clear" w:color="auto" w:fill="DBDBDB"/>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write-down charges</w:t>
            </w: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8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0" w:type="dxa"/>
            <w:vAlign w:val="bottom"/>
          </w:tcPr>
          <w:p>
            <w:pPr>
              <w:spacing w:after="0"/>
              <w:rPr>
                <w:sz w:val="1"/>
                <w:szCs w:val="1"/>
                <w:color w:val="auto"/>
              </w:rPr>
            </w:pPr>
          </w:p>
        </w:tc>
      </w:tr>
      <w:tr>
        <w:trPr>
          <w:trHeight w:val="181"/>
        </w:trPr>
        <w:tc>
          <w:tcPr>
            <w:tcW w:w="3660" w:type="dxa"/>
            <w:vAlign w:val="bottom"/>
          </w:tcPr>
          <w:p>
            <w:pPr>
              <w:ind w:left="3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(b)(c)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737</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3,227</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6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4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5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19"/>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FFO (from above)</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87"/>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FFO:</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7"/>
        </w:trPr>
        <w:tc>
          <w:tcPr>
            <w:tcW w:w="3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expenses</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87"/>
        </w:trPr>
        <w:tc>
          <w:tcPr>
            <w:tcW w:w="3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portion of tax provision</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4"/>
        </w:trPr>
        <w:tc>
          <w:tcPr>
            <w:tcW w:w="3660" w:type="dxa"/>
            <w:vAlign w:val="bottom"/>
            <w:shd w:val="clear" w:color="auto" w:fill="DBE5F1"/>
          </w:tcPr>
          <w:p>
            <w:pPr>
              <w:ind w:left="160"/>
              <w:spacing w:after="0" w:line="145" w:lineRule="exact"/>
              <w:rPr>
                <w:sz w:val="20"/>
                <w:szCs w:val="20"/>
                <w:color w:val="auto"/>
              </w:rPr>
            </w:pPr>
            <w:r>
              <w:rPr>
                <w:rFonts w:ascii="Times New Roman" w:cs="Times New Roman" w:eastAsia="Times New Roman" w:hAnsi="Times New Roman"/>
                <w:sz w:val="14"/>
                <w:szCs w:val="14"/>
                <w:color w:val="auto"/>
              </w:rPr>
              <w:t>Non-real estate related depreciation, amortization and</w:t>
            </w:r>
          </w:p>
        </w:tc>
        <w:tc>
          <w:tcPr>
            <w:tcW w:w="14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2"/>
                <w:szCs w:val="12"/>
                <w:color w:val="auto"/>
              </w:rPr>
            </w:pPr>
          </w:p>
        </w:tc>
        <w:tc>
          <w:tcPr>
            <w:tcW w:w="14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4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44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56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0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6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9"/>
        </w:trPr>
        <w:tc>
          <w:tcPr>
            <w:tcW w:w="36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accretion</w:t>
            </w:r>
          </w:p>
        </w:tc>
        <w:tc>
          <w:tcPr>
            <w:tcW w:w="14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vMerge w:val="continue"/>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vMerge w:val="continue"/>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non-cash interest expense</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7"/>
        </w:trPr>
        <w:tc>
          <w:tcPr>
            <w:tcW w:w="3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6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5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7"/>
        </w:trPr>
        <w:tc>
          <w:tcPr>
            <w:tcW w:w="3660" w:type="dxa"/>
            <w:vAlign w:val="bottom"/>
            <w:tcBorders>
              <w:bottom w:val="single" w:sz="8" w:color="DBE5F1"/>
            </w:tcBorders>
          </w:tcPr>
          <w:p>
            <w:pPr>
              <w:ind w:left="16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8"/>
        </w:trPr>
        <w:tc>
          <w:tcPr>
            <w:tcW w:w="3660" w:type="dxa"/>
            <w:vAlign w:val="bottom"/>
            <w:tcBorders>
              <w:bottom w:val="single" w:sz="8" w:color="DBE5F1"/>
            </w:tcBorders>
            <w:shd w:val="clear" w:color="auto" w:fill="DBE5F1"/>
          </w:tcPr>
          <w:p>
            <w:pPr>
              <w:ind w:left="30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AFFO</w:t>
            </w:r>
            <w:r>
              <w:rPr>
                <w:rFonts w:ascii="Times New Roman" w:cs="Times New Roman" w:eastAsia="Times New Roman" w:hAnsi="Times New Roman"/>
                <w:sz w:val="8"/>
                <w:szCs w:val="8"/>
                <w:b w:val="1"/>
                <w:bCs w:val="1"/>
                <w:color w:val="auto"/>
              </w:rPr>
              <w:t>(b)(c)</w:t>
            </w: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828</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891</w:t>
            </w: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790</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749</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704</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801</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785</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3,277</w:t>
            </w:r>
          </w:p>
        </w:tc>
        <w:tc>
          <w:tcPr>
            <w:tcW w:w="8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3,040</w:t>
            </w:r>
          </w:p>
        </w:tc>
        <w:tc>
          <w:tcPr>
            <w:tcW w:w="0" w:type="dxa"/>
            <w:vAlign w:val="bottom"/>
          </w:tcPr>
          <w:p>
            <w:pPr>
              <w:spacing w:after="0"/>
              <w:rPr>
                <w:sz w:val="1"/>
                <w:szCs w:val="1"/>
                <w:color w:val="auto"/>
              </w:rPr>
            </w:pPr>
          </w:p>
        </w:tc>
      </w:tr>
      <w:tr>
        <w:trPr>
          <w:trHeight w:val="20"/>
        </w:trPr>
        <w:tc>
          <w:tcPr>
            <w:tcW w:w="3660" w:type="dxa"/>
            <w:vAlign w:val="bottom"/>
            <w:tcBorders>
              <w:top w:val="single" w:sz="8" w:color="DBE5F1"/>
              <w:bottom w:val="single" w:sz="8" w:color="DBE5F1"/>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5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68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285" w:hanging="285"/>
        <w:spacing w:after="0"/>
        <w:tabs>
          <w:tab w:leader="none" w:pos="28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jc w:val="both"/>
        <w:ind w:left="285" w:right="20" w:hanging="285"/>
        <w:spacing w:after="0" w:line="247" w:lineRule="auto"/>
        <w:tabs>
          <w:tab w:leader="none" w:pos="279"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full year ended December 31, 2024, there were $9 million and $100 million of restructuring charges related to the July 2023 Restructuring Plan and the June 2024 Restructuring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65"/>
          </w:cols>
          <w:pgMar w:left="315" w:top="120" w:right="319" w:bottom="1440" w:gutter="0" w:footer="0" w:header="0"/>
        </w:sectPr>
      </w:pPr>
    </w:p>
    <w:bookmarkStart w:id="69" w:name="page70"/>
    <w:bookmarkEnd w:id="69"/>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59"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Historical FFO and AFFO per share:</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38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6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20" w:type="dxa"/>
            <w:vAlign w:val="bottom"/>
            <w:tcBorders>
              <w:top w:val="single" w:sz="8" w:color="auto"/>
            </w:tcBorders>
            <w:shd w:val="clear" w:color="auto" w:fill="DBDBDB"/>
          </w:tcPr>
          <w:p>
            <w:pPr>
              <w:spacing w:after="0"/>
              <w:rPr>
                <w:sz w:val="13"/>
                <w:szCs w:val="13"/>
                <w:color w:val="auto"/>
              </w:rPr>
            </w:pPr>
          </w:p>
        </w:tc>
        <w:tc>
          <w:tcPr>
            <w:tcW w:w="10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spacing w:after="0"/>
              <w:rPr>
                <w:sz w:val="13"/>
                <w:szCs w:val="13"/>
                <w:color w:val="auto"/>
              </w:rPr>
            </w:pPr>
          </w:p>
        </w:tc>
        <w:tc>
          <w:tcPr>
            <w:tcW w:w="2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380" w:type="dxa"/>
            <w:vAlign w:val="bottom"/>
            <w:tcBorders>
              <w:top w:val="single" w:sz="8" w:color="auto"/>
            </w:tcBorders>
            <w:shd w:val="clear" w:color="auto" w:fill="DBDBDB"/>
          </w:tcPr>
          <w:p>
            <w:pPr>
              <w:spacing w:after="0"/>
              <w:rPr>
                <w:sz w:val="13"/>
                <w:szCs w:val="13"/>
                <w:color w:val="auto"/>
              </w:rPr>
            </w:pPr>
          </w:p>
        </w:tc>
        <w:tc>
          <w:tcPr>
            <w:tcW w:w="80" w:type="dxa"/>
            <w:vAlign w:val="bottom"/>
            <w:tcBorders>
              <w:top w:val="single" w:sz="8" w:color="auto"/>
            </w:tcBorders>
            <w:shd w:val="clear" w:color="auto" w:fill="DBDBDB"/>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580" w:type="dxa"/>
            <w:vAlign w:val="bottom"/>
            <w:tcBorders>
              <w:top w:val="single" w:sz="8" w:color="auto"/>
            </w:tcBorders>
            <w:shd w:val="clear" w:color="auto" w:fill="DBDBDB"/>
          </w:tcPr>
          <w:p>
            <w:pPr>
              <w:spacing w:after="0"/>
              <w:rPr>
                <w:sz w:val="13"/>
                <w:szCs w:val="13"/>
                <w:color w:val="auto"/>
              </w:rPr>
            </w:pPr>
          </w:p>
        </w:tc>
        <w:tc>
          <w:tcPr>
            <w:tcW w:w="12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1640" w:type="dxa"/>
            <w:vAlign w:val="bottom"/>
            <w:tcBorders>
              <w:top w:val="single" w:sz="8" w:color="auto"/>
            </w:tcBorders>
            <w:gridSpan w:val="4"/>
            <w:shd w:val="clear" w:color="auto" w:fill="DBDBDB"/>
          </w:tcPr>
          <w:p>
            <w:pPr>
              <w:jc w:val="right"/>
              <w:ind w:right="149"/>
              <w:spacing w:after="0" w:line="154"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totals may not sum due to</w:t>
            </w:r>
          </w:p>
        </w:tc>
        <w:tc>
          <w:tcPr>
            <w:tcW w:w="140" w:type="dxa"/>
            <w:vAlign w:val="bottom"/>
            <w:tcBorders>
              <w:bottom w:val="single" w:sz="8" w:color="auto"/>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gridSpan w:val="3"/>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spacing w:after="0"/>
              <w:rPr>
                <w:sz w:val="16"/>
                <w:szCs w:val="16"/>
                <w:color w:val="auto"/>
              </w:rPr>
            </w:pPr>
          </w:p>
        </w:tc>
        <w:tc>
          <w:tcPr>
            <w:tcW w:w="300" w:type="dxa"/>
            <w:vAlign w:val="bottom"/>
            <w:tcBorders>
              <w:bottom w:val="single" w:sz="8" w:color="auto"/>
            </w:tcBorders>
            <w:gridSpan w:val="3"/>
            <w:shd w:val="clear" w:color="auto" w:fill="DBDBDB"/>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8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58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640" w:type="dxa"/>
            <w:vAlign w:val="bottom"/>
            <w:tcBorders>
              <w:bottom w:val="single" w:sz="8" w:color="auto"/>
            </w:tcBorders>
            <w:gridSpan w:val="4"/>
            <w:shd w:val="clear" w:color="auto" w:fill="DBDBDB"/>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3860" w:type="dxa"/>
            <w:vAlign w:val="bottom"/>
            <w:tcBorders>
              <w:bottom w:val="single" w:sz="8" w:color="auto"/>
            </w:tcBorders>
            <w:shd w:val="clear" w:color="auto" w:fill="DBDBDB"/>
          </w:tcPr>
          <w:p>
            <w:pPr>
              <w:ind w:left="160"/>
              <w:spacing w:after="0"/>
              <w:rPr>
                <w:sz w:val="20"/>
                <w:szCs w:val="20"/>
                <w:color w:val="auto"/>
              </w:rPr>
            </w:pPr>
            <w:r>
              <w:rPr>
                <w:rFonts w:ascii="Times New Roman" w:cs="Times New Roman" w:eastAsia="Times New Roman" w:hAnsi="Times New Roman"/>
                <w:sz w:val="14"/>
                <w:szCs w:val="14"/>
                <w:i w:val="1"/>
                <w:iCs w:val="1"/>
                <w:color w:val="auto"/>
              </w:rPr>
              <w:t>rounding)</w:t>
            </w:r>
          </w:p>
        </w:tc>
        <w:tc>
          <w:tcPr>
            <w:tcW w:w="1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4"/>
                <w:szCs w:val="14"/>
                <w:b w:val="1"/>
                <w:bCs w:val="1"/>
                <w:color w:val="auto"/>
              </w:rPr>
              <w:t>Q3</w:t>
            </w:r>
          </w:p>
        </w:tc>
        <w:tc>
          <w:tcPr>
            <w:tcW w:w="14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Borders>
              <w:bottom w:val="single" w:sz="8" w:color="auto"/>
            </w:tcBorders>
            <w:shd w:val="clear" w:color="auto" w:fill="DBDBDB"/>
          </w:tcPr>
          <w:p>
            <w:pPr>
              <w:spacing w:after="0"/>
              <w:rPr>
                <w:sz w:val="15"/>
                <w:szCs w:val="15"/>
                <w:color w:val="auto"/>
              </w:rPr>
            </w:pPr>
          </w:p>
        </w:tc>
        <w:tc>
          <w:tcPr>
            <w:tcW w:w="520" w:type="dxa"/>
            <w:vAlign w:val="bottom"/>
            <w:tcBorders>
              <w:bottom w:val="single" w:sz="8" w:color="auto"/>
            </w:tcBorders>
            <w:gridSpan w:val="2"/>
            <w:shd w:val="clear" w:color="auto" w:fill="DBDBDB"/>
          </w:tcPr>
          <w:p>
            <w:pPr>
              <w:ind w:left="60"/>
              <w:spacing w:after="0"/>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Borders>
              <w:bottom w:val="single" w:sz="8" w:color="auto"/>
            </w:tcBorders>
            <w:shd w:val="clear" w:color="auto" w:fill="DBDBDB"/>
          </w:tcPr>
          <w:p>
            <w:pPr>
              <w:spacing w:after="0"/>
              <w:rPr>
                <w:sz w:val="15"/>
                <w:szCs w:val="15"/>
                <w:color w:val="auto"/>
              </w:rPr>
            </w:pPr>
          </w:p>
        </w:tc>
        <w:tc>
          <w:tcPr>
            <w:tcW w:w="440" w:type="dxa"/>
            <w:vAlign w:val="bottom"/>
            <w:tcBorders>
              <w:bottom w:val="single" w:sz="8" w:color="auto"/>
            </w:tcBorders>
            <w:shd w:val="clear" w:color="auto" w:fill="DBDBDB"/>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Q2</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460" w:type="dxa"/>
            <w:vAlign w:val="bottom"/>
            <w:tcBorders>
              <w:bottom w:val="single" w:sz="8" w:color="auto"/>
            </w:tcBorders>
            <w:gridSpan w:val="2"/>
            <w:shd w:val="clear" w:color="auto" w:fill="DBDBDB"/>
          </w:tcPr>
          <w:p>
            <w:pPr>
              <w:spacing w:after="0"/>
              <w:rPr>
                <w:sz w:val="20"/>
                <w:szCs w:val="20"/>
                <w:color w:val="auto"/>
              </w:rPr>
            </w:pPr>
            <w:r>
              <w:rPr>
                <w:rFonts w:ascii="Times New Roman" w:cs="Times New Roman" w:eastAsia="Times New Roman" w:hAnsi="Times New Roman"/>
                <w:sz w:val="14"/>
                <w:szCs w:val="14"/>
                <w:b w:val="1"/>
                <w:bCs w:val="1"/>
                <w:color w:val="auto"/>
              </w:rPr>
              <w:t>Q3</w:t>
            </w:r>
          </w:p>
        </w:tc>
        <w:tc>
          <w:tcPr>
            <w:tcW w:w="20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gridSpan w:val="2"/>
            <w:shd w:val="clear" w:color="auto" w:fill="DBDBDB"/>
          </w:tcPr>
          <w:p>
            <w:pPr>
              <w:ind w:left="100"/>
              <w:spacing w:after="0"/>
              <w:rPr>
                <w:sz w:val="20"/>
                <w:szCs w:val="20"/>
                <w:color w:val="auto"/>
              </w:rPr>
            </w:pPr>
            <w:r>
              <w:rPr>
                <w:rFonts w:ascii="Times New Roman" w:cs="Times New Roman" w:eastAsia="Times New Roman" w:hAnsi="Times New Roman"/>
                <w:sz w:val="14"/>
                <w:szCs w:val="14"/>
                <w:b w:val="1"/>
                <w:bCs w:val="1"/>
                <w:color w:val="auto"/>
              </w:rPr>
              <w:t>Q4</w:t>
            </w:r>
          </w:p>
        </w:tc>
        <w:tc>
          <w:tcPr>
            <w:tcW w:w="140" w:type="dxa"/>
            <w:vAlign w:val="bottom"/>
            <w:tcBorders>
              <w:bottom w:val="single" w:sz="8" w:color="auto"/>
            </w:tcBorders>
            <w:shd w:val="clear" w:color="auto" w:fill="DBDBDB"/>
          </w:tcPr>
          <w:p>
            <w:pPr>
              <w:spacing w:after="0"/>
              <w:rPr>
                <w:sz w:val="15"/>
                <w:szCs w:val="15"/>
                <w:color w:val="auto"/>
              </w:rPr>
            </w:pPr>
          </w:p>
        </w:tc>
        <w:tc>
          <w:tcPr>
            <w:tcW w:w="70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write-down charges</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20"/>
              <w:spacing w:after="0" w:line="192" w:lineRule="exact"/>
              <w:rPr>
                <w:sz w:val="20"/>
                <w:szCs w:val="20"/>
                <w:color w:val="auto"/>
              </w:rPr>
            </w:pPr>
            <w:r>
              <w:rPr>
                <w:rFonts w:ascii="Times New Roman" w:cs="Times New Roman" w:eastAsia="Times New Roman" w:hAnsi="Times New Roman"/>
                <w:sz w:val="14"/>
                <w:szCs w:val="14"/>
                <w:color w:val="auto"/>
              </w:rPr>
              <w:t>Goodwill impairment charges</w:t>
            </w:r>
            <w:r>
              <w:rPr>
                <w:rFonts w:ascii="Times New Roman" w:cs="Times New Roman" w:eastAsia="Times New Roman" w:hAnsi="Times New Roman"/>
                <w:sz w:val="18"/>
                <w:szCs w:val="18"/>
                <w:color w:val="auto"/>
                <w:vertAlign w:val="superscript"/>
              </w:rPr>
              <w:t>(a)</w:t>
            </w:r>
          </w:p>
        </w:tc>
        <w:tc>
          <w:tcPr>
            <w:tcW w:w="14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46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800" w:type="dxa"/>
            <w:vAlign w:val="bottom"/>
            <w:gridSpan w:val="2"/>
            <w:shd w:val="clear" w:color="auto" w:fill="DBE5F1"/>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81"/>
        </w:trPr>
        <w:tc>
          <w:tcPr>
            <w:tcW w:w="3860" w:type="dxa"/>
            <w:vAlign w:val="bottom"/>
          </w:tcPr>
          <w:p>
            <w:pPr>
              <w:ind w:left="3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(b)(c)</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6.64</w:t>
            </w:r>
          </w:p>
        </w:tc>
        <w:tc>
          <w:tcPr>
            <w:tcW w:w="0" w:type="dxa"/>
            <w:vAlign w:val="bottom"/>
          </w:tcPr>
          <w:p>
            <w:pPr>
              <w:spacing w:after="0"/>
              <w:rPr>
                <w:sz w:val="1"/>
                <w:szCs w:val="1"/>
                <w:color w:val="auto"/>
              </w:rPr>
            </w:pPr>
          </w:p>
        </w:tc>
      </w:tr>
      <w:tr>
        <w:trPr>
          <w:trHeight w:val="20"/>
        </w:trPr>
        <w:tc>
          <w:tcPr>
            <w:tcW w:w="386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E5F1"/>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E5F1"/>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4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4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DBE5F1"/>
          </w:tcPr>
          <w:p>
            <w:pPr>
              <w:spacing w:after="0"/>
              <w:rPr>
                <w:sz w:val="15"/>
                <w:szCs w:val="15"/>
                <w:color w:val="auto"/>
              </w:rPr>
            </w:pPr>
          </w:p>
        </w:tc>
        <w:tc>
          <w:tcPr>
            <w:tcW w:w="16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 w:type="dxa"/>
            <w:vAlign w:val="bottom"/>
            <w:tcBorders>
              <w:bottom w:val="single" w:sz="8" w:color="auto"/>
            </w:tcBorders>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200" w:type="dxa"/>
            <w:vAlign w:val="bottom"/>
            <w:tcBorders>
              <w:bottom w:val="single" w:sz="8" w:color="auto"/>
            </w:tcBorders>
            <w:shd w:val="clear" w:color="auto" w:fill="DBE5F1"/>
          </w:tcPr>
          <w:p>
            <w:pPr>
              <w:spacing w:after="0"/>
              <w:rPr>
                <w:sz w:val="15"/>
                <w:szCs w:val="15"/>
                <w:color w:val="auto"/>
              </w:rPr>
            </w:pPr>
          </w:p>
        </w:tc>
        <w:tc>
          <w:tcPr>
            <w:tcW w:w="3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shd w:val="clear" w:color="auto" w:fill="DBE5F1"/>
          </w:tcPr>
          <w:p>
            <w:pPr>
              <w:spacing w:after="0"/>
              <w:rPr>
                <w:sz w:val="15"/>
                <w:szCs w:val="15"/>
                <w:color w:val="auto"/>
              </w:rPr>
            </w:pPr>
          </w:p>
        </w:tc>
        <w:tc>
          <w:tcPr>
            <w:tcW w:w="200" w:type="dxa"/>
            <w:vAlign w:val="bottom"/>
            <w:tcBorders>
              <w:bottom w:val="single" w:sz="8" w:color="auto"/>
            </w:tcBorders>
            <w:shd w:val="clear" w:color="auto" w:fill="DBE5F1"/>
          </w:tcPr>
          <w:p>
            <w:pPr>
              <w:spacing w:after="0"/>
              <w:rPr>
                <w:sz w:val="15"/>
                <w:szCs w:val="15"/>
                <w:color w:val="auto"/>
              </w:rPr>
            </w:pPr>
          </w:p>
        </w:tc>
        <w:tc>
          <w:tcPr>
            <w:tcW w:w="5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DBE5F1"/>
          </w:tcPr>
          <w:p>
            <w:pPr>
              <w:spacing w:after="0"/>
              <w:rPr>
                <w:sz w:val="15"/>
                <w:szCs w:val="15"/>
                <w:color w:val="auto"/>
              </w:rPr>
            </w:pPr>
          </w:p>
        </w:tc>
        <w:tc>
          <w:tcPr>
            <w:tcW w:w="140" w:type="dxa"/>
            <w:vAlign w:val="bottom"/>
            <w:tcBorders>
              <w:bottom w:val="single" w:sz="8" w:color="auto"/>
            </w:tcBorders>
            <w:shd w:val="clear" w:color="auto" w:fill="DBE5F1"/>
          </w:tcPr>
          <w:p>
            <w:pPr>
              <w:spacing w:after="0"/>
              <w:rPr>
                <w:sz w:val="15"/>
                <w:szCs w:val="15"/>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DBE5F1"/>
          </w:tcPr>
          <w:p>
            <w:pPr>
              <w:spacing w:after="0"/>
              <w:rPr>
                <w:sz w:val="15"/>
                <w:szCs w:val="15"/>
                <w:color w:val="auto"/>
              </w:rPr>
            </w:pPr>
          </w:p>
        </w:tc>
        <w:tc>
          <w:tcPr>
            <w:tcW w:w="180" w:type="dxa"/>
            <w:vAlign w:val="bottom"/>
            <w:tcBorders>
              <w:bottom w:val="single" w:sz="8" w:color="auto"/>
            </w:tcBorders>
            <w:shd w:val="clear" w:color="auto" w:fill="DBE5F1"/>
          </w:tcPr>
          <w:p>
            <w:pPr>
              <w:spacing w:after="0"/>
              <w:rPr>
                <w:sz w:val="15"/>
                <w:szCs w:val="15"/>
                <w:color w:val="auto"/>
              </w:rPr>
            </w:pP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FFO (from above)</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0" w:type="dxa"/>
            <w:vAlign w:val="bottom"/>
            <w:gridSpan w:val="3"/>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87"/>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FFO:</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ind w:left="340"/>
              <w:spacing w:after="0"/>
              <w:rPr>
                <w:sz w:val="20"/>
                <w:szCs w:val="20"/>
                <w:color w:val="auto"/>
              </w:rPr>
            </w:pPr>
            <w:r>
              <w:rPr>
                <w:rFonts w:ascii="Times New Roman" w:cs="Times New Roman" w:eastAsia="Times New Roman" w:hAnsi="Times New Roman"/>
                <w:sz w:val="14"/>
                <w:szCs w:val="14"/>
                <w:color w:val="auto"/>
              </w:rPr>
              <w:t>(0.63)</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187"/>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expenses</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87"/>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portion of tax provision</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187"/>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non-cash interest expense</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87"/>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860" w:type="dxa"/>
            <w:vAlign w:val="bottom"/>
            <w:shd w:val="clear" w:color="auto" w:fill="DBE5F1"/>
          </w:tcPr>
          <w:p>
            <w:pPr>
              <w:ind w:left="160"/>
              <w:spacing w:after="0" w:line="192" w:lineRule="exact"/>
              <w:rPr>
                <w:sz w:val="20"/>
                <w:szCs w:val="20"/>
                <w:color w:val="auto"/>
              </w:rPr>
            </w:pPr>
            <w:r>
              <w:rPr>
                <w:rFonts w:ascii="Times New Roman" w:cs="Times New Roman" w:eastAsia="Times New Roman" w:hAnsi="Times New Roman"/>
                <w:sz w:val="14"/>
                <w:szCs w:val="14"/>
                <w:color w:val="auto"/>
              </w:rPr>
              <w:t>Restructuring charges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DBE5F1"/>
          </w:tcPr>
          <w:p>
            <w:pPr>
              <w:spacing w:after="0"/>
              <w:rPr>
                <w:sz w:val="16"/>
                <w:szCs w:val="16"/>
                <w:color w:val="auto"/>
              </w:rPr>
            </w:pPr>
          </w:p>
        </w:tc>
        <w:tc>
          <w:tcPr>
            <w:tcW w:w="52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DBE5F1"/>
          </w:tcPr>
          <w:p>
            <w:pPr>
              <w:spacing w:after="0"/>
              <w:rPr>
                <w:sz w:val="16"/>
                <w:szCs w:val="16"/>
                <w:color w:val="auto"/>
              </w:rPr>
            </w:pPr>
          </w:p>
        </w:tc>
        <w:tc>
          <w:tcPr>
            <w:tcW w:w="540" w:type="dxa"/>
            <w:vAlign w:val="bottom"/>
            <w:gridSpan w:val="2"/>
            <w:shd w:val="clear" w:color="auto" w:fill="DBE5F1"/>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DBE5F1"/>
          </w:tcPr>
          <w:p>
            <w:pPr>
              <w:spacing w:after="0"/>
              <w:rPr>
                <w:sz w:val="16"/>
                <w:szCs w:val="16"/>
                <w:color w:val="auto"/>
              </w:rPr>
            </w:pPr>
          </w:p>
        </w:tc>
        <w:tc>
          <w:tcPr>
            <w:tcW w:w="4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16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4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0" w:type="dxa"/>
            <w:vAlign w:val="bottom"/>
            <w:shd w:val="clear" w:color="auto" w:fill="DBE5F1"/>
          </w:tcPr>
          <w:p>
            <w:pPr>
              <w:spacing w:after="0"/>
              <w:rPr>
                <w:sz w:val="16"/>
                <w:szCs w:val="16"/>
                <w:color w:val="auto"/>
              </w:rPr>
            </w:pP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3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5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DBE5F1"/>
          </w:tcPr>
          <w:p>
            <w:pPr>
              <w:spacing w:after="0"/>
              <w:rPr>
                <w:sz w:val="16"/>
                <w:szCs w:val="16"/>
                <w:color w:val="auto"/>
              </w:rPr>
            </w:pPr>
          </w:p>
        </w:tc>
        <w:tc>
          <w:tcPr>
            <w:tcW w:w="14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6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DBE5F1"/>
            </w:tcBorders>
          </w:tcPr>
          <w:p>
            <w:pPr>
              <w:ind w:left="16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Borders>
              <w:bottom w:val="single" w:sz="8" w:color="DBE5F1"/>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Borders>
              <w:bottom w:val="single" w:sz="8" w:color="DBE5F1"/>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bottom w:val="single" w:sz="8" w:color="DBE5F1"/>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8"/>
        </w:trPr>
        <w:tc>
          <w:tcPr>
            <w:tcW w:w="3860" w:type="dxa"/>
            <w:vAlign w:val="bottom"/>
            <w:tcBorders>
              <w:bottom w:val="single" w:sz="8" w:color="DBE5F1"/>
            </w:tcBorders>
            <w:shd w:val="clear" w:color="auto" w:fill="DBE5F1"/>
          </w:tcPr>
          <w:p>
            <w:pPr>
              <w:ind w:left="30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AFFO</w:t>
            </w:r>
            <w:r>
              <w:rPr>
                <w:rFonts w:ascii="Times New Roman" w:cs="Times New Roman" w:eastAsia="Times New Roman" w:hAnsi="Times New Roman"/>
                <w:sz w:val="8"/>
                <w:szCs w:val="8"/>
                <w:b w:val="1"/>
                <w:bCs w:val="1"/>
                <w:color w:val="auto"/>
              </w:rPr>
              <w:t>(b)(c)</w:t>
            </w: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1.91</w:t>
            </w:r>
          </w:p>
        </w:tc>
        <w:tc>
          <w:tcPr>
            <w:tcW w:w="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2.05</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1.77</w:t>
            </w:r>
          </w:p>
        </w:tc>
        <w:tc>
          <w:tcPr>
            <w:tcW w:w="10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8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1.72</w:t>
            </w:r>
          </w:p>
        </w:tc>
        <w:tc>
          <w:tcPr>
            <w:tcW w:w="8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1.62</w:t>
            </w:r>
          </w:p>
        </w:tc>
        <w:tc>
          <w:tcPr>
            <w:tcW w:w="20" w:type="dxa"/>
            <w:vAlign w:val="bottom"/>
            <w:tcBorders>
              <w:bottom w:val="single" w:sz="8" w:color="auto"/>
            </w:tcBorders>
            <w:shd w:val="clear" w:color="auto" w:fill="DBE5F1"/>
          </w:tcPr>
          <w:p>
            <w:pPr>
              <w:spacing w:after="0"/>
              <w:rPr>
                <w:sz w:val="17"/>
                <w:szCs w:val="17"/>
                <w:color w:val="auto"/>
              </w:rPr>
            </w:pPr>
          </w:p>
        </w:tc>
        <w:tc>
          <w:tcPr>
            <w:tcW w:w="80" w:type="dxa"/>
            <w:vAlign w:val="bottom"/>
            <w:tcBorders>
              <w:bottom w:val="single" w:sz="8" w:color="DBE5F1"/>
            </w:tcBorders>
            <w:shd w:val="clear" w:color="auto" w:fill="DBE5F1"/>
          </w:tcPr>
          <w:p>
            <w:pPr>
              <w:spacing w:after="0"/>
              <w:rPr>
                <w:sz w:val="17"/>
                <w:szCs w:val="17"/>
                <w:color w:val="auto"/>
              </w:rPr>
            </w:pPr>
          </w:p>
        </w:tc>
        <w:tc>
          <w:tcPr>
            <w:tcW w:w="200" w:type="dxa"/>
            <w:vAlign w:val="bottom"/>
            <w:tcBorders>
              <w:bottom w:val="single" w:sz="8" w:color="auto"/>
            </w:tcBorders>
            <w:shd w:val="clear" w:color="auto" w:fill="DBE5F1"/>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1.84</w:t>
            </w:r>
          </w:p>
        </w:tc>
        <w:tc>
          <w:tcPr>
            <w:tcW w:w="80" w:type="dxa"/>
            <w:vAlign w:val="bottom"/>
            <w:tcBorders>
              <w:bottom w:val="single" w:sz="8" w:color="DBE5F1"/>
            </w:tcBorders>
            <w:shd w:val="clear" w:color="auto" w:fill="DBE5F1"/>
          </w:tcPr>
          <w:p>
            <w:pPr>
              <w:spacing w:after="0"/>
              <w:rPr>
                <w:sz w:val="17"/>
                <w:szCs w:val="17"/>
                <w:color w:val="auto"/>
              </w:rPr>
            </w:pPr>
          </w:p>
        </w:tc>
        <w:tc>
          <w:tcPr>
            <w:tcW w:w="20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120" w:type="dxa"/>
            <w:vAlign w:val="bottom"/>
            <w:tcBorders>
              <w:bottom w:val="single" w:sz="8" w:color="DBE5F1"/>
            </w:tcBorders>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100" w:type="dxa"/>
            <w:vAlign w:val="bottom"/>
            <w:tcBorders>
              <w:bottom w:val="single" w:sz="8" w:color="DBE5F1"/>
            </w:tcBorders>
            <w:shd w:val="clear" w:color="auto" w:fill="DBE5F1"/>
          </w:tcPr>
          <w:p>
            <w:pPr>
              <w:spacing w:after="0"/>
              <w:rPr>
                <w:sz w:val="17"/>
                <w:szCs w:val="17"/>
                <w:color w:val="auto"/>
              </w:rPr>
            </w:pPr>
          </w:p>
        </w:tc>
        <w:tc>
          <w:tcPr>
            <w:tcW w:w="180" w:type="dxa"/>
            <w:vAlign w:val="bottom"/>
            <w:tcBorders>
              <w:bottom w:val="single" w:sz="8" w:color="auto"/>
            </w:tcBorders>
            <w:shd w:val="clear" w:color="auto" w:fill="DBE5F1"/>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0" w:type="dxa"/>
            <w:vAlign w:val="bottom"/>
          </w:tcPr>
          <w:p>
            <w:pPr>
              <w:spacing w:after="0"/>
              <w:rPr>
                <w:sz w:val="1"/>
                <w:szCs w:val="1"/>
                <w:color w:val="auto"/>
              </w:rPr>
            </w:pPr>
          </w:p>
        </w:tc>
      </w:tr>
      <w:tr>
        <w:trPr>
          <w:trHeight w:val="20"/>
        </w:trPr>
        <w:tc>
          <w:tcPr>
            <w:tcW w:w="3860" w:type="dxa"/>
            <w:vAlign w:val="bottom"/>
            <w:tcBorders>
              <w:top w:val="single" w:sz="8" w:color="DBE5F1"/>
              <w:bottom w:val="single" w:sz="8" w:color="DBE5F1"/>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2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440" w:type="dxa"/>
            <w:vAlign w:val="bottom"/>
            <w:tcBorders>
              <w:top w:val="single" w:sz="8" w:color="DBE5F1"/>
              <w:bottom w:val="single" w:sz="8" w:color="auto"/>
            </w:tcBorders>
          </w:tcPr>
          <w:p>
            <w:pPr>
              <w:spacing w:after="0" w:line="20" w:lineRule="exact"/>
              <w:rPr>
                <w:sz w:val="1"/>
                <w:szCs w:val="1"/>
                <w:color w:val="auto"/>
              </w:rPr>
            </w:pPr>
          </w:p>
        </w:tc>
        <w:tc>
          <w:tcPr>
            <w:tcW w:w="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38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DBE5F1"/>
              <w:bottom w:val="single" w:sz="8" w:color="auto"/>
            </w:tcBorders>
          </w:tcPr>
          <w:p>
            <w:pPr>
              <w:spacing w:after="0" w:line="20" w:lineRule="exact"/>
              <w:rPr>
                <w:sz w:val="1"/>
                <w:szCs w:val="1"/>
                <w:color w:val="auto"/>
              </w:rPr>
            </w:pPr>
          </w:p>
        </w:tc>
        <w:tc>
          <w:tcPr>
            <w:tcW w:w="580" w:type="dxa"/>
            <w:vAlign w:val="bottom"/>
            <w:tcBorders>
              <w:top w:val="single" w:sz="8" w:color="DBE5F1"/>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bottom w:val="single" w:sz="8" w:color="auto"/>
            </w:tcBorders>
          </w:tcPr>
          <w:p>
            <w:pPr>
              <w:spacing w:after="0" w:line="20" w:lineRule="exact"/>
              <w:rPr>
                <w:sz w:val="1"/>
                <w:szCs w:val="1"/>
                <w:color w:val="auto"/>
              </w:rPr>
            </w:pPr>
          </w:p>
        </w:tc>
        <w:tc>
          <w:tcPr>
            <w:tcW w:w="700" w:type="dxa"/>
            <w:vAlign w:val="bottom"/>
            <w:tcBorders>
              <w:top w:val="single" w:sz="8" w:color="DBE5F1"/>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80" w:type="dxa"/>
            <w:vAlign w:val="bottom"/>
            <w:tcBorders>
              <w:top w:val="single" w:sz="8" w:color="DBE5F1"/>
              <w:bottom w:val="single" w:sz="8" w:color="auto"/>
            </w:tcBorders>
          </w:tcPr>
          <w:p>
            <w:pPr>
              <w:spacing w:after="0" w:line="20" w:lineRule="exact"/>
              <w:rPr>
                <w:sz w:val="1"/>
                <w:szCs w:val="1"/>
                <w:color w:val="auto"/>
              </w:rPr>
            </w:pPr>
          </w:p>
        </w:tc>
        <w:tc>
          <w:tcPr>
            <w:tcW w:w="66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6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436</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85" w:hanging="285"/>
        <w:spacing w:after="0"/>
        <w:tabs>
          <w:tab w:leader="none" w:pos="28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impairment charges for goodwill associated with the Company's Fiber reporting unit recorded in the fourth quarter of 2024.</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including per share amounts, in this "Non-GAAP Measures and Other Information."</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periods shown.</w:t>
      </w:r>
    </w:p>
    <w:p>
      <w:pPr>
        <w:jc w:val="both"/>
        <w:ind w:left="285" w:right="20" w:hanging="285"/>
        <w:spacing w:after="0" w:line="247" w:lineRule="auto"/>
        <w:tabs>
          <w:tab w:leader="none" w:pos="27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restructuring charges recorded for the periods presented related to the 2023 Restructuring Plan and the 2024 Restructuring Plan, as applicable, for the respective period. For the three-month period ended December 31, 2024, there were ($1) million of adjustments related to the July 2023 Restructuring Plan and $6 million of restructuring charges related to the June 2024 Restructuring Plan. For the full year ended December 31, 2024, there were $9 million and $100 million of restructuring charges related to the July 2023 Restructuring Plan and the June 2024 Restructuring Plan, respectively.</w:t>
      </w:r>
    </w:p>
    <w:p>
      <w:pPr>
        <w:spacing w:after="0" w:line="200" w:lineRule="exact"/>
        <w:rPr>
          <w:sz w:val="20"/>
          <w:szCs w:val="20"/>
          <w:color w:val="auto"/>
        </w:rPr>
      </w:pPr>
    </w:p>
    <w:p>
      <w:pPr>
        <w:spacing w:after="0" w:line="38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65"/>
          </w:cols>
          <w:pgMar w:left="315" w:top="120" w:right="319" w:bottom="1440" w:gutter="0" w:footer="0" w:header="0"/>
        </w:sectPr>
      </w:pPr>
    </w:p>
    <w:bookmarkStart w:id="70" w:name="page71"/>
    <w:bookmarkEnd w:id="70"/>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59"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Outlook for FFO and AFFO:</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6980" w:type="dxa"/>
            <w:vAlign w:val="bottom"/>
            <w:tcBorders>
              <w:top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 totals may not sum due to rounding)</w:t>
            </w:r>
          </w:p>
        </w:tc>
        <w:tc>
          <w:tcPr>
            <w:tcW w:w="2180" w:type="dxa"/>
            <w:vAlign w:val="bottom"/>
            <w:tcBorders>
              <w:top w:val="single" w:sz="8" w:color="auto"/>
            </w:tcBorders>
            <w:gridSpan w:val="4"/>
            <w:vMerge w:val="restart"/>
            <w:shd w:val="clear" w:color="auto" w:fill="DDDDDD"/>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Full Year 2025 Outlook</w:t>
            </w:r>
            <w:r>
              <w:rPr>
                <w:rFonts w:ascii="Times New Roman" w:cs="Times New Roman" w:eastAsia="Times New Roman" w:hAnsi="Times New Roman"/>
                <w:sz w:val="18"/>
                <w:szCs w:val="18"/>
                <w:b w:val="1"/>
                <w:bCs w:val="1"/>
                <w:color w:val="auto"/>
                <w:w w:val="97"/>
                <w:vertAlign w:val="superscript"/>
              </w:rPr>
              <w:t>(a)</w:t>
            </w:r>
          </w:p>
        </w:tc>
        <w:tc>
          <w:tcPr>
            <w:tcW w:w="2100" w:type="dxa"/>
            <w:vAlign w:val="bottom"/>
            <w:tcBorders>
              <w:top w:val="single" w:sz="8" w:color="auto"/>
            </w:tcBorders>
            <w:gridSpan w:val="3"/>
            <w:shd w:val="clear" w:color="auto" w:fill="DDDDDD"/>
          </w:tcPr>
          <w:p>
            <w:pPr>
              <w:jc w:val="center"/>
              <w:spacing w:after="0" w:line="154" w:lineRule="exact"/>
              <w:rPr>
                <w:sz w:val="20"/>
                <w:szCs w:val="20"/>
                <w:color w:val="auto"/>
              </w:rPr>
            </w:pPr>
            <w:r>
              <w:rPr>
                <w:rFonts w:ascii="Times New Roman" w:cs="Times New Roman" w:eastAsia="Times New Roman" w:hAnsi="Times New Roman"/>
                <w:sz w:val="14"/>
                <w:szCs w:val="14"/>
                <w:b w:val="1"/>
                <w:bCs w:val="1"/>
                <w:color w:val="auto"/>
              </w:rPr>
              <w:t>Full Year 2025 Outlook Per</w:t>
            </w:r>
          </w:p>
        </w:tc>
        <w:tc>
          <w:tcPr>
            <w:tcW w:w="0" w:type="dxa"/>
            <w:vAlign w:val="bottom"/>
          </w:tcPr>
          <w:p>
            <w:pPr>
              <w:spacing w:after="0"/>
              <w:rPr>
                <w:sz w:val="1"/>
                <w:szCs w:val="1"/>
                <w:color w:val="auto"/>
              </w:rPr>
            </w:pPr>
          </w:p>
        </w:tc>
      </w:tr>
      <w:tr>
        <w:trPr>
          <w:trHeight w:val="189"/>
        </w:trPr>
        <w:tc>
          <w:tcPr>
            <w:tcW w:w="6980" w:type="dxa"/>
            <w:vAlign w:val="bottom"/>
            <w:tcBorders>
              <w:bottom w:val="single" w:sz="8" w:color="auto"/>
            </w:tcBorders>
            <w:vMerge w:val="continue"/>
            <w:shd w:val="clear" w:color="auto" w:fill="DBDBDB"/>
          </w:tcPr>
          <w:p>
            <w:pPr>
              <w:spacing w:after="0"/>
              <w:rPr>
                <w:sz w:val="16"/>
                <w:szCs w:val="16"/>
                <w:color w:val="auto"/>
              </w:rPr>
            </w:pPr>
          </w:p>
        </w:tc>
        <w:tc>
          <w:tcPr>
            <w:tcW w:w="2180" w:type="dxa"/>
            <w:vAlign w:val="bottom"/>
            <w:tcBorders>
              <w:bottom w:val="single" w:sz="8" w:color="auto"/>
            </w:tcBorders>
            <w:gridSpan w:val="4"/>
            <w:vMerge w:val="continue"/>
            <w:shd w:val="clear" w:color="auto" w:fill="DDDDDD"/>
          </w:tcPr>
          <w:p>
            <w:pPr>
              <w:spacing w:after="0"/>
              <w:rPr>
                <w:sz w:val="16"/>
                <w:szCs w:val="16"/>
                <w:color w:val="auto"/>
              </w:rPr>
            </w:pPr>
          </w:p>
        </w:tc>
        <w:tc>
          <w:tcPr>
            <w:tcW w:w="2100" w:type="dxa"/>
            <w:vAlign w:val="bottom"/>
            <w:tcBorders>
              <w:bottom w:val="single" w:sz="8" w:color="auto"/>
            </w:tcBorders>
            <w:gridSpan w:val="3"/>
            <w:shd w:val="clear" w:color="auto" w:fill="DDDDDD"/>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81"/>
        </w:trPr>
        <w:tc>
          <w:tcPr>
            <w:tcW w:w="69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Net income (loss)</w:t>
            </w:r>
            <w:r>
              <w:rPr>
                <w:rFonts w:ascii="Times New Roman" w:cs="Times New Roman" w:eastAsia="Times New Roman" w:hAnsi="Times New Roman"/>
                <w:sz w:val="18"/>
                <w:szCs w:val="18"/>
                <w:color w:val="auto"/>
                <w:vertAlign w:val="superscript"/>
              </w:rPr>
              <w:t>(b)</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$0.79</w:t>
            </w:r>
          </w:p>
        </w:tc>
        <w:tc>
          <w:tcPr>
            <w:tcW w:w="0" w:type="dxa"/>
            <w:vAlign w:val="bottom"/>
          </w:tcPr>
          <w:p>
            <w:pPr>
              <w:spacing w:after="0"/>
              <w:rPr>
                <w:sz w:val="1"/>
                <w:szCs w:val="1"/>
                <w:color w:val="auto"/>
              </w:rPr>
            </w:pPr>
          </w:p>
        </w:tc>
      </w:tr>
      <w:tr>
        <w:trPr>
          <w:trHeight w:val="189"/>
        </w:trPr>
        <w:tc>
          <w:tcPr>
            <w:tcW w:w="69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Real estate related depreciation, amortization and accretion</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$740</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7"/>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write-down charges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86"/>
        </w:trPr>
        <w:tc>
          <w:tcPr>
            <w:tcW w:w="69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Net (income) loss from discontinued operations</w:t>
            </w:r>
            <w:r>
              <w:rPr>
                <w:rFonts w:ascii="Times New Roman" w:cs="Times New Roman" w:eastAsia="Times New Roman" w:hAnsi="Times New Roman"/>
                <w:sz w:val="18"/>
                <w:szCs w:val="18"/>
                <w:color w:val="auto"/>
                <w:vertAlign w:val="superscript"/>
              </w:rPr>
              <w:t>(c)</w:t>
            </w: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28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Borders>
              <w:bottom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$590</w:t>
            </w:r>
          </w:p>
        </w:tc>
        <w:tc>
          <w:tcPr>
            <w:tcW w:w="80" w:type="dxa"/>
            <w:vAlign w:val="bottom"/>
            <w:shd w:val="clear" w:color="auto" w:fill="DBE5F1"/>
          </w:tcPr>
          <w:p>
            <w:pPr>
              <w:spacing w:after="0"/>
              <w:rPr>
                <w:sz w:val="24"/>
                <w:szCs w:val="24"/>
                <w:color w:val="auto"/>
              </w:rPr>
            </w:pP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28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Borders>
              <w:bottom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1"/>
        </w:trPr>
        <w:tc>
          <w:tcPr>
            <w:tcW w:w="6980" w:type="dxa"/>
            <w:vAlign w:val="bottom"/>
          </w:tcPr>
          <w:p>
            <w:pPr>
              <w:ind w:left="3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FFO</w:t>
            </w:r>
            <w:r>
              <w:rPr>
                <w:rFonts w:ascii="Times New Roman" w:cs="Times New Roman" w:eastAsia="Times New Roman" w:hAnsi="Times New Roman"/>
                <w:sz w:val="8"/>
                <w:szCs w:val="8"/>
                <w:b w:val="1"/>
                <w:bCs w:val="1"/>
                <w:color w:val="auto"/>
              </w:rPr>
              <w:t>(b)(e)</w:t>
            </w:r>
          </w:p>
        </w:tc>
        <w:tc>
          <w:tcPr>
            <w:tcW w:w="11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$1,610  to</w:t>
            </w: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$1,640</w:t>
            </w:r>
          </w:p>
        </w:tc>
        <w:tc>
          <w:tcPr>
            <w:tcW w:w="80" w:type="dxa"/>
            <w:vAlign w:val="bottom"/>
          </w:tcPr>
          <w:p>
            <w:pPr>
              <w:spacing w:after="0"/>
              <w:rPr>
                <w:sz w:val="15"/>
                <w:szCs w:val="15"/>
                <w:color w:val="auto"/>
              </w:rPr>
            </w:pPr>
          </w:p>
        </w:tc>
        <w:tc>
          <w:tcPr>
            <w:tcW w:w="11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$3.69  to</w:t>
            </w: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$3.76</w:t>
            </w:r>
          </w:p>
        </w:tc>
        <w:tc>
          <w:tcPr>
            <w:tcW w:w="0" w:type="dxa"/>
            <w:vAlign w:val="bottom"/>
          </w:tcPr>
          <w:p>
            <w:pPr>
              <w:spacing w:after="0"/>
              <w:rPr>
                <w:sz w:val="1"/>
                <w:szCs w:val="1"/>
                <w:color w:val="auto"/>
              </w:rPr>
            </w:pPr>
          </w:p>
        </w:tc>
      </w:tr>
      <w:tr>
        <w:trPr>
          <w:trHeight w:val="20"/>
        </w:trPr>
        <w:tc>
          <w:tcPr>
            <w:tcW w:w="6980" w:type="dxa"/>
            <w:vAlign w:val="bottom"/>
            <w:tcBorders>
              <w:bottom w:val="single" w:sz="8" w:color="DBE5F1"/>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E5F1"/>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98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900" w:type="dxa"/>
            <w:vAlign w:val="bottom"/>
            <w:tcBorders>
              <w:bottom w:val="single" w:sz="8" w:color="auto"/>
            </w:tcBorders>
            <w:shd w:val="clear" w:color="auto" w:fill="DBE5F1"/>
          </w:tcPr>
          <w:p>
            <w:pPr>
              <w:spacing w:after="0"/>
              <w:rPr>
                <w:sz w:val="15"/>
                <w:szCs w:val="15"/>
                <w:color w:val="auto"/>
              </w:rPr>
            </w:pPr>
          </w:p>
        </w:tc>
        <w:tc>
          <w:tcPr>
            <w:tcW w:w="28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435</w:t>
            </w:r>
          </w:p>
        </w:tc>
        <w:tc>
          <w:tcPr>
            <w:tcW w:w="920" w:type="dxa"/>
            <w:vAlign w:val="bottom"/>
            <w:tcBorders>
              <w:bottom w:val="single" w:sz="8" w:color="auto"/>
            </w:tcBorders>
            <w:shd w:val="clear" w:color="auto" w:fill="DBE5F1"/>
          </w:tcPr>
          <w:p>
            <w:pPr>
              <w:spacing w:after="0"/>
              <w:rPr>
                <w:sz w:val="15"/>
                <w:szCs w:val="15"/>
                <w:color w:val="auto"/>
              </w:rPr>
            </w:pPr>
          </w:p>
        </w:tc>
        <w:tc>
          <w:tcPr>
            <w:tcW w:w="80" w:type="dxa"/>
            <w:vAlign w:val="bottom"/>
            <w:shd w:val="clear" w:color="auto" w:fill="DBE5F1"/>
          </w:tcPr>
          <w:p>
            <w:pPr>
              <w:spacing w:after="0"/>
              <w:rPr>
                <w:sz w:val="15"/>
                <w:szCs w:val="15"/>
                <w:color w:val="auto"/>
              </w:rPr>
            </w:pPr>
          </w:p>
        </w:tc>
        <w:tc>
          <w:tcPr>
            <w:tcW w:w="900" w:type="dxa"/>
            <w:vAlign w:val="bottom"/>
            <w:tcBorders>
              <w:bottom w:val="single" w:sz="8" w:color="auto"/>
            </w:tcBorders>
            <w:shd w:val="clear" w:color="auto" w:fill="DBE5F1"/>
          </w:tcPr>
          <w:p>
            <w:pPr>
              <w:spacing w:after="0"/>
              <w:rPr>
                <w:sz w:val="15"/>
                <w:szCs w:val="15"/>
                <w:color w:val="auto"/>
              </w:rPr>
            </w:pPr>
          </w:p>
        </w:tc>
        <w:tc>
          <w:tcPr>
            <w:tcW w:w="28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435</w:t>
            </w:r>
          </w:p>
        </w:tc>
        <w:tc>
          <w:tcPr>
            <w:tcW w:w="920" w:type="dxa"/>
            <w:vAlign w:val="bottom"/>
            <w:tcBorders>
              <w:bottom w:val="single" w:sz="8" w:color="auto"/>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9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FFO (from above)</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7"/>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FFO:</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Straight-lined revenues</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7"/>
        </w:trPr>
        <w:tc>
          <w:tcPr>
            <w:tcW w:w="6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Straight-lined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92"/>
        </w:trPr>
        <w:tc>
          <w:tcPr>
            <w:tcW w:w="69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 net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187"/>
        </w:trPr>
        <w:tc>
          <w:tcPr>
            <w:tcW w:w="6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portion of tax provision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192"/>
        </w:trPr>
        <w:tc>
          <w:tcPr>
            <w:tcW w:w="69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Non-real estate related depreciation, amortization and accretion</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187"/>
        </w:trPr>
        <w:tc>
          <w:tcPr>
            <w:tcW w:w="6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non-cash interest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$0.04</w:t>
            </w:r>
          </w:p>
        </w:tc>
        <w:tc>
          <w:tcPr>
            <w:tcW w:w="0" w:type="dxa"/>
            <w:vAlign w:val="bottom"/>
          </w:tcPr>
          <w:p>
            <w:pPr>
              <w:spacing w:after="0"/>
              <w:rPr>
                <w:sz w:val="1"/>
                <w:szCs w:val="1"/>
                <w:color w:val="auto"/>
              </w:rPr>
            </w:pPr>
          </w:p>
        </w:tc>
      </w:tr>
      <w:tr>
        <w:trPr>
          <w:trHeight w:val="192"/>
        </w:trPr>
        <w:tc>
          <w:tcPr>
            <w:tcW w:w="69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Other (income) expense</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87"/>
        </w:trPr>
        <w:tc>
          <w:tcPr>
            <w:tcW w:w="6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(Gains) losses on retirement of long-term obligations</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6980" w:type="dxa"/>
            <w:vAlign w:val="bottom"/>
            <w:shd w:val="clear" w:color="auto" w:fill="DBE5F1"/>
          </w:tcPr>
          <w:p>
            <w:pPr>
              <w:ind w:left="160"/>
              <w:spacing w:after="0"/>
              <w:rPr>
                <w:sz w:val="20"/>
                <w:szCs w:val="20"/>
                <w:color w:val="auto"/>
              </w:rPr>
            </w:pPr>
            <w:r>
              <w:rPr>
                <w:rFonts w:ascii="Times New Roman" w:cs="Times New Roman" w:eastAsia="Times New Roman" w:hAnsi="Times New Roman"/>
                <w:sz w:val="14"/>
                <w:szCs w:val="14"/>
                <w:color w:val="auto"/>
              </w:rPr>
              <w:t>Acquisition and integration costs</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DBE5F1"/>
          </w:tcPr>
          <w:p>
            <w:pPr>
              <w:spacing w:after="0"/>
              <w:rPr>
                <w:sz w:val="16"/>
                <w:szCs w:val="16"/>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80" w:type="dxa"/>
            <w:vAlign w:val="bottom"/>
            <w:shd w:val="clear" w:color="auto" w:fill="DBE5F1"/>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shd w:val="clear" w:color="auto" w:fill="DBE5F1"/>
          </w:tcPr>
          <w:p>
            <w:pPr>
              <w:ind w:left="40"/>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187"/>
        </w:trPr>
        <w:tc>
          <w:tcPr>
            <w:tcW w:w="6980" w:type="dxa"/>
            <w:vAlign w:val="bottom"/>
            <w:tcBorders>
              <w:bottom w:val="single" w:sz="8" w:color="DBE5F1"/>
            </w:tcBorders>
          </w:tcPr>
          <w:p>
            <w:pPr>
              <w:ind w:left="16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DBE5F1"/>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$(0.08)</w:t>
            </w:r>
          </w:p>
        </w:tc>
        <w:tc>
          <w:tcPr>
            <w:tcW w:w="0" w:type="dxa"/>
            <w:vAlign w:val="bottom"/>
          </w:tcPr>
          <w:p>
            <w:pPr>
              <w:spacing w:after="0"/>
              <w:rPr>
                <w:sz w:val="1"/>
                <w:szCs w:val="1"/>
                <w:color w:val="auto"/>
              </w:rPr>
            </w:pPr>
          </w:p>
        </w:tc>
      </w:tr>
      <w:tr>
        <w:trPr>
          <w:trHeight w:val="208"/>
        </w:trPr>
        <w:tc>
          <w:tcPr>
            <w:tcW w:w="6980" w:type="dxa"/>
            <w:vAlign w:val="bottom"/>
            <w:tcBorders>
              <w:bottom w:val="single" w:sz="8" w:color="DBE5F1"/>
            </w:tcBorders>
            <w:shd w:val="clear" w:color="auto" w:fill="DBE5F1"/>
          </w:tcPr>
          <w:p>
            <w:pPr>
              <w:ind w:left="300"/>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AFFO</w:t>
            </w:r>
            <w:r>
              <w:rPr>
                <w:rFonts w:ascii="Times New Roman" w:cs="Times New Roman" w:eastAsia="Times New Roman" w:hAnsi="Times New Roman"/>
                <w:sz w:val="8"/>
                <w:szCs w:val="8"/>
                <w:b w:val="1"/>
                <w:bCs w:val="1"/>
                <w:color w:val="auto"/>
              </w:rPr>
              <w:t>(b)(e)</w:t>
            </w:r>
          </w:p>
        </w:tc>
        <w:tc>
          <w:tcPr>
            <w:tcW w:w="1180" w:type="dxa"/>
            <w:vAlign w:val="bottom"/>
            <w:tcBorders>
              <w:bottom w:val="single" w:sz="8" w:color="auto"/>
            </w:tcBorders>
            <w:gridSpan w:val="2"/>
            <w:shd w:val="clear" w:color="auto" w:fill="DBE5F1"/>
          </w:tcPr>
          <w:p>
            <w:pPr>
              <w:ind w:left="480"/>
              <w:spacing w:after="0"/>
              <w:rPr>
                <w:sz w:val="20"/>
                <w:szCs w:val="20"/>
                <w:color w:val="auto"/>
              </w:rPr>
            </w:pPr>
            <w:r>
              <w:rPr>
                <w:rFonts w:ascii="Times New Roman" w:cs="Times New Roman" w:eastAsia="Times New Roman" w:hAnsi="Times New Roman"/>
                <w:sz w:val="14"/>
                <w:szCs w:val="14"/>
                <w:b w:val="1"/>
                <w:bCs w:val="1"/>
                <w:color w:val="auto"/>
              </w:rPr>
              <w:t>$1,770  to</w:t>
            </w:r>
          </w:p>
        </w:tc>
        <w:tc>
          <w:tcPr>
            <w:tcW w:w="920" w:type="dxa"/>
            <w:vAlign w:val="bottom"/>
            <w:tcBorders>
              <w:bottom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14"/>
                <w:szCs w:val="14"/>
                <w:b w:val="1"/>
                <w:bCs w:val="1"/>
                <w:color w:val="auto"/>
              </w:rPr>
              <w:t>$1,820</w:t>
            </w:r>
          </w:p>
        </w:tc>
        <w:tc>
          <w:tcPr>
            <w:tcW w:w="80" w:type="dxa"/>
            <w:vAlign w:val="bottom"/>
            <w:tcBorders>
              <w:bottom w:val="single" w:sz="8" w:color="DBE5F1"/>
            </w:tcBorders>
            <w:shd w:val="clear" w:color="auto" w:fill="DBE5F1"/>
          </w:tcPr>
          <w:p>
            <w:pPr>
              <w:spacing w:after="0"/>
              <w:rPr>
                <w:sz w:val="17"/>
                <w:szCs w:val="17"/>
                <w:color w:val="auto"/>
              </w:rPr>
            </w:pPr>
          </w:p>
        </w:tc>
        <w:tc>
          <w:tcPr>
            <w:tcW w:w="1180" w:type="dxa"/>
            <w:vAlign w:val="bottom"/>
            <w:tcBorders>
              <w:bottom w:val="single" w:sz="8" w:color="auto"/>
            </w:tcBorders>
            <w:gridSpan w:val="2"/>
            <w:shd w:val="clear" w:color="auto" w:fill="DBE5F1"/>
          </w:tcPr>
          <w:p>
            <w:pPr>
              <w:ind w:left="560"/>
              <w:spacing w:after="0"/>
              <w:rPr>
                <w:sz w:val="20"/>
                <w:szCs w:val="20"/>
                <w:color w:val="auto"/>
              </w:rPr>
            </w:pPr>
            <w:r>
              <w:rPr>
                <w:rFonts w:ascii="Times New Roman" w:cs="Times New Roman" w:eastAsia="Times New Roman" w:hAnsi="Times New Roman"/>
                <w:sz w:val="14"/>
                <w:szCs w:val="14"/>
                <w:b w:val="1"/>
                <w:bCs w:val="1"/>
                <w:color w:val="auto"/>
              </w:rPr>
              <w:t>$4.06  to</w:t>
            </w:r>
          </w:p>
        </w:tc>
        <w:tc>
          <w:tcPr>
            <w:tcW w:w="920" w:type="dxa"/>
            <w:vAlign w:val="bottom"/>
            <w:tcBorders>
              <w:bottom w:val="single" w:sz="8" w:color="auto"/>
            </w:tcBorders>
            <w:shd w:val="clear" w:color="auto" w:fill="DBE5F1"/>
          </w:tcPr>
          <w:p>
            <w:pPr>
              <w:ind w:left="40"/>
              <w:spacing w:after="0"/>
              <w:rPr>
                <w:sz w:val="20"/>
                <w:szCs w:val="20"/>
                <w:color w:val="auto"/>
              </w:rPr>
            </w:pPr>
            <w:r>
              <w:rPr>
                <w:rFonts w:ascii="Times New Roman" w:cs="Times New Roman" w:eastAsia="Times New Roman" w:hAnsi="Times New Roman"/>
                <w:sz w:val="14"/>
                <w:szCs w:val="14"/>
                <w:b w:val="1"/>
                <w:bCs w:val="1"/>
                <w:color w:val="auto"/>
              </w:rPr>
              <w:t>$4.17</w:t>
            </w:r>
          </w:p>
        </w:tc>
        <w:tc>
          <w:tcPr>
            <w:tcW w:w="0" w:type="dxa"/>
            <w:vAlign w:val="bottom"/>
          </w:tcPr>
          <w:p>
            <w:pPr>
              <w:spacing w:after="0"/>
              <w:rPr>
                <w:sz w:val="1"/>
                <w:szCs w:val="1"/>
                <w:color w:val="auto"/>
              </w:rPr>
            </w:pPr>
          </w:p>
        </w:tc>
      </w:tr>
      <w:tr>
        <w:trPr>
          <w:trHeight w:val="20"/>
        </w:trPr>
        <w:tc>
          <w:tcPr>
            <w:tcW w:w="6980" w:type="dxa"/>
            <w:vAlign w:val="bottom"/>
            <w:tcBorders>
              <w:top w:val="single" w:sz="8" w:color="DBE5F1"/>
              <w:bottom w:val="single" w:sz="8" w:color="DBE5F1"/>
            </w:tcBorders>
            <w:vMerge w:val="restart"/>
          </w:tcPr>
          <w:p>
            <w:pPr>
              <w:ind w:left="300"/>
              <w:spacing w:after="0"/>
              <w:rPr>
                <w:sz w:val="20"/>
                <w:szCs w:val="20"/>
                <w:color w:val="auto"/>
              </w:rPr>
            </w:pPr>
            <w:r>
              <w:rPr>
                <w:rFonts w:ascii="Times New Roman" w:cs="Times New Roman" w:eastAsia="Times New Roman" w:hAnsi="Times New Roman"/>
                <w:sz w:val="14"/>
                <w:szCs w:val="14"/>
                <w:color w:val="auto"/>
              </w:rPr>
              <w:t>Weighted-average common shares outstanding—diluted</w:t>
            </w:r>
          </w:p>
        </w:tc>
        <w:tc>
          <w:tcPr>
            <w:tcW w:w="900" w:type="dxa"/>
            <w:vAlign w:val="bottom"/>
            <w:tcBorders>
              <w:top w:val="single" w:sz="8" w:color="DBE5F1"/>
              <w:bottom w:val="single" w:sz="8" w:color="auto"/>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92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900" w:type="dxa"/>
            <w:vAlign w:val="bottom"/>
            <w:tcBorders>
              <w:top w:val="single" w:sz="8" w:color="DBE5F1"/>
              <w:bottom w:val="single" w:sz="8" w:color="auto"/>
            </w:tcBorders>
          </w:tcPr>
          <w:p>
            <w:pPr>
              <w:spacing w:after="0" w:line="20" w:lineRule="exact"/>
              <w:rPr>
                <w:sz w:val="1"/>
                <w:szCs w:val="1"/>
                <w:color w:val="auto"/>
              </w:rPr>
            </w:pPr>
          </w:p>
        </w:tc>
        <w:tc>
          <w:tcPr>
            <w:tcW w:w="280" w:type="dxa"/>
            <w:vAlign w:val="bottom"/>
            <w:tcBorders>
              <w:top w:val="single" w:sz="8" w:color="DBE5F1"/>
              <w:bottom w:val="single" w:sz="8" w:color="auto"/>
            </w:tcBorders>
          </w:tcPr>
          <w:p>
            <w:pPr>
              <w:spacing w:after="0" w:line="20" w:lineRule="exact"/>
              <w:rPr>
                <w:sz w:val="1"/>
                <w:szCs w:val="1"/>
                <w:color w:val="auto"/>
              </w:rPr>
            </w:pPr>
          </w:p>
        </w:tc>
        <w:tc>
          <w:tcPr>
            <w:tcW w:w="92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980" w:type="dxa"/>
            <w:vAlign w:val="bottom"/>
            <w:vMerge w:val="continue"/>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center"/>
              <w:spacing w:after="0" w:line="154" w:lineRule="exact"/>
              <w:rPr>
                <w:sz w:val="20"/>
                <w:szCs w:val="20"/>
                <w:color w:val="auto"/>
              </w:rPr>
            </w:pPr>
            <w:r>
              <w:rPr>
                <w:rFonts w:ascii="Times New Roman" w:cs="Times New Roman" w:eastAsia="Times New Roman" w:hAnsi="Times New Roman"/>
                <w:sz w:val="14"/>
                <w:szCs w:val="14"/>
                <w:color w:val="auto"/>
              </w:rPr>
              <w:t>435</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Net Debt and Calculation of Net Debt to Last Quarter Annualized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7149465" cy="1276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17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4"/>
          <w:szCs w:val="14"/>
          <w:i w:val="1"/>
          <w:iCs w:val="1"/>
          <w:color w:val="auto"/>
        </w:rPr>
        <w:t>(as of December 31, 2024; dollars in millions)</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185"/>
        </w:trPr>
        <w:tc>
          <w:tcPr>
            <w:tcW w:w="9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debt and other obligations (current and non-current)</w:t>
            </w: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24,081</w:t>
            </w:r>
          </w:p>
        </w:tc>
      </w:tr>
      <w:tr>
        <w:trPr>
          <w:trHeight w:val="190"/>
        </w:trPr>
        <w:tc>
          <w:tcPr>
            <w:tcW w:w="96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Unamortized adjustments, net</w:t>
            </w:r>
          </w:p>
        </w:tc>
        <w:tc>
          <w:tcPr>
            <w:tcW w:w="600" w:type="dxa"/>
            <w:vAlign w:val="bottom"/>
            <w:tcBorders>
              <w:bottom w:val="single" w:sz="8" w:color="auto"/>
            </w:tcBorders>
            <w:shd w:val="clear" w:color="auto" w:fill="DBE5F1"/>
          </w:tcPr>
          <w:p>
            <w:pPr>
              <w:spacing w:after="0"/>
              <w:rPr>
                <w:sz w:val="16"/>
                <w:szCs w:val="16"/>
                <w:color w:val="auto"/>
              </w:rPr>
            </w:pPr>
          </w:p>
        </w:tc>
        <w:tc>
          <w:tcPr>
            <w:tcW w:w="1040" w:type="dxa"/>
            <w:vAlign w:val="bottom"/>
            <w:tcBorders>
              <w:bottom w:val="single" w:sz="8" w:color="auto"/>
            </w:tcBorders>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159</w:t>
            </w:r>
          </w:p>
        </w:tc>
      </w:tr>
      <w:tr>
        <w:trPr>
          <w:trHeight w:val="179"/>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face value of debt</w:t>
            </w:r>
          </w:p>
        </w:tc>
        <w:tc>
          <w:tcPr>
            <w:tcW w:w="600" w:type="dxa"/>
            <w:vAlign w:val="bottom"/>
          </w:tcPr>
          <w:p>
            <w:pPr>
              <w:spacing w:after="0"/>
              <w:rPr>
                <w:sz w:val="15"/>
                <w:szCs w:val="15"/>
                <w:color w:val="auto"/>
              </w:rPr>
            </w:pP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24,240</w:t>
            </w:r>
          </w:p>
        </w:tc>
      </w:tr>
      <w:tr>
        <w:trPr>
          <w:trHeight w:val="192"/>
        </w:trPr>
        <w:tc>
          <w:tcPr>
            <w:tcW w:w="96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4"/>
                <w:szCs w:val="14"/>
                <w:color w:val="auto"/>
              </w:rPr>
              <w:t>Less: Ending cash and cash equivalents and restricted cash and cash equivalents</w:t>
            </w:r>
          </w:p>
        </w:tc>
        <w:tc>
          <w:tcPr>
            <w:tcW w:w="600" w:type="dxa"/>
            <w:vAlign w:val="bottom"/>
            <w:tcBorders>
              <w:bottom w:val="single" w:sz="8" w:color="auto"/>
            </w:tcBorders>
            <w:shd w:val="clear" w:color="auto" w:fill="DBE5F1"/>
          </w:tcPr>
          <w:p>
            <w:pPr>
              <w:spacing w:after="0"/>
              <w:rPr>
                <w:sz w:val="16"/>
                <w:szCs w:val="16"/>
                <w:color w:val="auto"/>
              </w:rPr>
            </w:pPr>
          </w:p>
        </w:tc>
        <w:tc>
          <w:tcPr>
            <w:tcW w:w="1040" w:type="dxa"/>
            <w:vAlign w:val="bottom"/>
            <w:tcBorders>
              <w:bottom w:val="single" w:sz="8" w:color="auto"/>
            </w:tcBorders>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295</w:t>
            </w:r>
          </w:p>
        </w:tc>
      </w:tr>
      <w:tr>
        <w:trPr>
          <w:trHeight w:val="181"/>
        </w:trPr>
        <w:tc>
          <w:tcPr>
            <w:tcW w:w="96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Net Debt</w:t>
            </w:r>
            <w:r>
              <w:rPr>
                <w:rFonts w:ascii="Times New Roman" w:cs="Times New Roman" w:eastAsia="Times New Roman" w:hAnsi="Times New Roman"/>
                <w:sz w:val="18"/>
                <w:szCs w:val="18"/>
                <w:b w:val="1"/>
                <w:bCs w:val="1"/>
                <w:color w:val="auto"/>
                <w:vertAlign w:val="superscript"/>
              </w:rPr>
              <w:t>(f)</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23,945</w:t>
            </w:r>
          </w:p>
        </w:tc>
      </w:tr>
      <w:tr>
        <w:trPr>
          <w:trHeight w:val="189"/>
        </w:trPr>
        <w:tc>
          <w:tcPr>
            <w:tcW w:w="9620" w:type="dxa"/>
            <w:vAlign w:val="bottom"/>
            <w:shd w:val="clear" w:color="auto" w:fill="DBE5F1"/>
          </w:tcPr>
          <w:p>
            <w:pPr>
              <w:spacing w:after="0"/>
              <w:rPr>
                <w:sz w:val="16"/>
                <w:szCs w:val="16"/>
                <w:color w:val="auto"/>
              </w:rPr>
            </w:pPr>
          </w:p>
        </w:tc>
        <w:tc>
          <w:tcPr>
            <w:tcW w:w="600" w:type="dxa"/>
            <w:vAlign w:val="bottom"/>
            <w:shd w:val="clear" w:color="auto" w:fill="DBE5F1"/>
          </w:tcPr>
          <w:p>
            <w:pPr>
              <w:spacing w:after="0"/>
              <w:rPr>
                <w:sz w:val="16"/>
                <w:szCs w:val="16"/>
                <w:color w:val="auto"/>
              </w:rPr>
            </w:pPr>
          </w:p>
        </w:tc>
        <w:tc>
          <w:tcPr>
            <w:tcW w:w="1040" w:type="dxa"/>
            <w:vAlign w:val="bottom"/>
            <w:shd w:val="clear" w:color="auto" w:fill="DBE5F1"/>
          </w:tcPr>
          <w:p>
            <w:pPr>
              <w:spacing w:after="0"/>
              <w:rPr>
                <w:sz w:val="16"/>
                <w:szCs w:val="16"/>
                <w:color w:val="auto"/>
              </w:rPr>
            </w:pPr>
          </w:p>
        </w:tc>
      </w:tr>
      <w:tr>
        <w:trPr>
          <w:trHeight w:val="189"/>
        </w:trPr>
        <w:tc>
          <w:tcPr>
            <w:tcW w:w="962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Adjusted EBITDA for the three months ended December 31, 2024</w:t>
            </w:r>
            <w:r>
              <w:rPr>
                <w:rFonts w:ascii="Times New Roman" w:cs="Times New Roman" w:eastAsia="Times New Roman" w:hAnsi="Times New Roman"/>
                <w:sz w:val="18"/>
                <w:szCs w:val="18"/>
                <w:color w:val="auto"/>
                <w:vertAlign w:val="superscript"/>
              </w:rPr>
              <w:t>(f)</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1,044</w:t>
            </w:r>
          </w:p>
        </w:tc>
      </w:tr>
      <w:tr>
        <w:trPr>
          <w:trHeight w:val="189"/>
        </w:trPr>
        <w:tc>
          <w:tcPr>
            <w:tcW w:w="9620" w:type="dxa"/>
            <w:vAlign w:val="bottom"/>
            <w:shd w:val="clear" w:color="auto" w:fill="DBE5F1"/>
          </w:tcPr>
          <w:p>
            <w:pPr>
              <w:ind w:left="20"/>
              <w:spacing w:after="0" w:line="189" w:lineRule="exact"/>
              <w:rPr>
                <w:sz w:val="20"/>
                <w:szCs w:val="20"/>
                <w:color w:val="auto"/>
              </w:rPr>
            </w:pPr>
            <w:r>
              <w:rPr>
                <w:rFonts w:ascii="Times New Roman" w:cs="Times New Roman" w:eastAsia="Times New Roman" w:hAnsi="Times New Roman"/>
                <w:sz w:val="14"/>
                <w:szCs w:val="14"/>
                <w:color w:val="auto"/>
              </w:rPr>
              <w:t>Last quarter annualized Adjusted EBITDA</w:t>
            </w:r>
            <w:r>
              <w:rPr>
                <w:rFonts w:ascii="Times New Roman" w:cs="Times New Roman" w:eastAsia="Times New Roman" w:hAnsi="Times New Roman"/>
                <w:sz w:val="18"/>
                <w:szCs w:val="18"/>
                <w:color w:val="auto"/>
                <w:vertAlign w:val="superscript"/>
              </w:rPr>
              <w:t>(f)</w:t>
            </w:r>
          </w:p>
        </w:tc>
        <w:tc>
          <w:tcPr>
            <w:tcW w:w="600" w:type="dxa"/>
            <w:vAlign w:val="bottom"/>
            <w:shd w:val="clear" w:color="auto" w:fill="DBE5F1"/>
          </w:tcPr>
          <w:p>
            <w:pPr>
              <w:spacing w:after="0"/>
              <w:rPr>
                <w:sz w:val="16"/>
                <w:szCs w:val="16"/>
                <w:color w:val="auto"/>
              </w:rPr>
            </w:pPr>
          </w:p>
        </w:tc>
        <w:tc>
          <w:tcPr>
            <w:tcW w:w="1040" w:type="dxa"/>
            <w:vAlign w:val="bottom"/>
            <w:shd w:val="clear" w:color="auto" w:fill="DBE5F1"/>
          </w:tcPr>
          <w:p>
            <w:pPr>
              <w:jc w:val="right"/>
              <w:ind w:right="69"/>
              <w:spacing w:after="0"/>
              <w:rPr>
                <w:sz w:val="20"/>
                <w:szCs w:val="20"/>
                <w:color w:val="auto"/>
              </w:rPr>
            </w:pPr>
            <w:r>
              <w:rPr>
                <w:rFonts w:ascii="Times New Roman" w:cs="Times New Roman" w:eastAsia="Times New Roman" w:hAnsi="Times New Roman"/>
                <w:sz w:val="14"/>
                <w:szCs w:val="14"/>
                <w:color w:val="auto"/>
              </w:rPr>
              <w:t>4,176</w:t>
            </w:r>
          </w:p>
        </w:tc>
      </w:tr>
      <w:tr>
        <w:trPr>
          <w:trHeight w:val="246"/>
        </w:trPr>
        <w:tc>
          <w:tcPr>
            <w:tcW w:w="9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Debt to Last Quarter Annualized Adjusted EBITDA</w:t>
            </w:r>
            <w:r>
              <w:rPr>
                <w:rFonts w:ascii="Times New Roman" w:cs="Times New Roman" w:eastAsia="Times New Roman" w:hAnsi="Times New Roman"/>
                <w:sz w:val="18"/>
                <w:szCs w:val="18"/>
                <w:b w:val="1"/>
                <w:bCs w:val="1"/>
                <w:color w:val="auto"/>
                <w:vertAlign w:val="superscript"/>
              </w:rPr>
              <w:t>(f)</w:t>
            </w: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 x</w:t>
            </w:r>
          </w:p>
        </w:tc>
      </w:tr>
    </w:tbl>
    <w:p>
      <w:pPr>
        <w:spacing w:after="0" w:line="6" w:lineRule="exact"/>
        <w:rPr>
          <w:sz w:val="20"/>
          <w:szCs w:val="20"/>
          <w:color w:val="auto"/>
        </w:rPr>
      </w:pPr>
    </w:p>
    <w:p>
      <w:pPr>
        <w:ind w:left="285" w:hanging="285"/>
        <w:spacing w:after="0"/>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issued on March 13, 2025.</w:t>
      </w:r>
    </w:p>
    <w:p>
      <w:pPr>
        <w:spacing w:after="0" w:line="1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contribution from discontinued operations.</w:t>
      </w:r>
    </w:p>
    <w:p>
      <w:pPr>
        <w:spacing w:after="0" w:line="4" w:lineRule="exact"/>
        <w:rPr>
          <w:rFonts w:ascii="Times New Roman" w:cs="Times New Roman" w:eastAsia="Times New Roman" w:hAnsi="Times New Roman"/>
          <w:sz w:val="13"/>
          <w:szCs w:val="13"/>
          <w:color w:val="auto"/>
        </w:rPr>
      </w:pPr>
    </w:p>
    <w:p>
      <w:pPr>
        <w:ind w:left="285" w:hanging="285"/>
        <w:spacing w:after="0" w:line="233" w:lineRule="auto"/>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results from the Fiber business, including an estimated loss on sale of $700 million to $900 million.</w:t>
      </w:r>
    </w:p>
    <w:p>
      <w:pPr>
        <w:ind w:left="285" w:hanging="285"/>
        <w:spacing w:after="0"/>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FFO and AFFO, including per share amounts,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ind w:left="285" w:hanging="285"/>
        <w:spacing w:after="0"/>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above reconciliation excludes line items included in our definition which are not applicable for the period shown.</w:t>
      </w:r>
    </w:p>
    <w:p>
      <w:pPr>
        <w:spacing w:after="0" w:line="4"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discussion and our definitions of Net Debt, Adjusted EBITDA, and Net Debt to Last Quarter Annualized Adjusted EBITDA in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38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65"/>
          </w:cols>
          <w:pgMar w:left="315" w:top="120" w:right="319" w:bottom="1440" w:gutter="0" w:footer="0" w:header="0"/>
        </w:sectPr>
      </w:pPr>
    </w:p>
    <w:bookmarkStart w:id="71" w:name="page72"/>
    <w:bookmarkEnd w:id="71"/>
    <w:p>
      <w:pPr>
        <w:jc w:val="center"/>
        <w:ind w:right="-4"/>
        <w:spacing w:after="0"/>
        <w:rPr>
          <w:sz w:val="20"/>
          <w:szCs w:val="20"/>
          <w:color w:val="auto"/>
        </w:rPr>
      </w:pPr>
      <w:r>
        <w:rPr>
          <w:rFonts w:ascii="Times New Roman" w:cs="Times New Roman" w:eastAsia="Times New Roman" w:hAnsi="Times New Roman"/>
          <w:sz w:val="13"/>
          <w:szCs w:val="13"/>
          <w:color w:val="auto"/>
        </w:rPr>
        <w:t>Crown Castle Inc.</w:t>
      </w:r>
    </w:p>
    <w:p>
      <w:pPr>
        <w:spacing w:after="0" w:line="1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3"/>
          <w:szCs w:val="13"/>
          <w:color w:val="auto"/>
        </w:rPr>
        <w:t>Fourth Quarter 2024</w:t>
      </w:r>
    </w:p>
    <w:p>
      <w:pPr>
        <w:spacing w:after="0" w:line="159" w:lineRule="exact"/>
        <w:rPr>
          <w:sz w:val="20"/>
          <w:szCs w:val="20"/>
          <w:color w:val="auto"/>
        </w:rPr>
      </w:pPr>
    </w:p>
    <w:tbl>
      <w:tblPr>
        <w:tblLayout w:type="fixed"/>
        <w:tblInd w:w="15"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ind w:left="480"/>
              <w:spacing w:after="0" w:line="130" w:lineRule="exact"/>
              <w:rPr>
                <w:sz w:val="20"/>
                <w:szCs w:val="20"/>
                <w:color w:val="auto"/>
              </w:rPr>
            </w:pPr>
            <w:r>
              <w:rPr>
                <w:rFonts w:ascii="Times New Roman" w:cs="Times New Roman" w:eastAsia="Times New Roman" w:hAnsi="Times New Roman"/>
                <w:sz w:val="13"/>
                <w:szCs w:val="13"/>
                <w:b w:val="1"/>
                <w:bCs w:val="1"/>
                <w:color w:val="auto"/>
              </w:rPr>
              <w:t>COMPANY</w:t>
            </w:r>
          </w:p>
        </w:tc>
        <w:tc>
          <w:tcPr>
            <w:tcW w:w="1600" w:type="dxa"/>
            <w:vAlign w:val="bottom"/>
            <w:tcBorders>
              <w:top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OUTLOOK</w:t>
            </w:r>
          </w:p>
        </w:tc>
        <w:tc>
          <w:tcPr>
            <w:tcW w:w="162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6"/>
              </w:rPr>
              <w:t>CONSOLIDATED</w:t>
            </w:r>
          </w:p>
        </w:tc>
        <w:tc>
          <w:tcPr>
            <w:tcW w:w="1600" w:type="dxa"/>
            <w:vAlign w:val="bottom"/>
            <w:tcBorders>
              <w:top w:val="single" w:sz="8" w:color="auto"/>
              <w:right w:val="single" w:sz="8" w:color="auto"/>
            </w:tcBorders>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3"/>
              </w:rPr>
              <w:t>CAPITALIZATION</w:t>
            </w:r>
          </w:p>
        </w:tc>
        <w:tc>
          <w:tcPr>
            <w:tcW w:w="160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TOWERS SEGMENT</w:t>
            </w:r>
          </w:p>
        </w:tc>
        <w:tc>
          <w:tcPr>
            <w:tcW w:w="160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FIBER SEGMENT</w:t>
            </w:r>
          </w:p>
        </w:tc>
        <w:tc>
          <w:tcPr>
            <w:tcW w:w="1600" w:type="dxa"/>
            <w:vAlign w:val="bottom"/>
            <w:tcBorders>
              <w:top w:val="single" w:sz="8" w:color="auto"/>
              <w:right w:val="single" w:sz="8" w:color="auto"/>
            </w:tcBorders>
            <w:vMerge w:val="restart"/>
            <w:shd w:val="clear" w:color="auto" w:fill="CCC0DA"/>
          </w:tcPr>
          <w:p>
            <w:pPr>
              <w:ind w:left="460"/>
              <w:spacing w:after="0"/>
              <w:rPr>
                <w:sz w:val="20"/>
                <w:szCs w:val="20"/>
                <w:color w:val="auto"/>
              </w:rPr>
            </w:pPr>
            <w:r>
              <w:rPr>
                <w:rFonts w:ascii="Times New Roman" w:cs="Times New Roman" w:eastAsia="Times New Roman" w:hAnsi="Times New Roman"/>
                <w:sz w:val="13"/>
                <w:szCs w:val="13"/>
                <w:b w:val="1"/>
                <w:bCs w:val="1"/>
                <w:color w:val="auto"/>
              </w:rPr>
              <w:t>APPENDIX</w:t>
            </w:r>
          </w:p>
        </w:tc>
        <w:tc>
          <w:tcPr>
            <w:tcW w:w="0" w:type="dxa"/>
            <w:vAlign w:val="bottom"/>
          </w:tcPr>
          <w:p>
            <w:pPr>
              <w:spacing w:after="0"/>
              <w:rPr>
                <w:sz w:val="1"/>
                <w:szCs w:val="1"/>
                <w:color w:val="auto"/>
              </w:rPr>
            </w:pPr>
          </w:p>
        </w:tc>
      </w:tr>
      <w:tr>
        <w:trPr>
          <w:trHeight w:val="97"/>
        </w:trPr>
        <w:tc>
          <w:tcPr>
            <w:tcW w:w="1640" w:type="dxa"/>
            <w:vAlign w:val="bottom"/>
            <w:tcBorders>
              <w:left w:val="single" w:sz="8" w:color="auto"/>
              <w:right w:val="single" w:sz="8" w:color="auto"/>
            </w:tcBorders>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OVERVIEW</w:t>
            </w:r>
          </w:p>
        </w:tc>
        <w:tc>
          <w:tcPr>
            <w:tcW w:w="160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FINANCIALS</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OVERVIEW</w:t>
            </w: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shd w:val="clear" w:color="auto" w:fill="CCC0DA"/>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4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vMerge w:val="continue"/>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shd w:val="clear" w:color="auto" w:fill="CCC0DA"/>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b w:val="1"/>
          <w:bCs w:val="1"/>
          <w:color w:val="auto"/>
        </w:rPr>
        <w:t>Reconciliation of Segment Adjusted Site Rental Gross Margin and Segment Adjusted Services and Other Gross Margin:</w:t>
      </w:r>
    </w:p>
    <w:p>
      <w:pPr>
        <w:spacing w:after="0" w:line="16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7380" w:type="dxa"/>
            <w:vAlign w:val="bottom"/>
            <w:tcBorders>
              <w:top w:val="single" w:sz="8" w:color="auto"/>
              <w:bottom w:val="single" w:sz="8" w:color="DBDBDB"/>
            </w:tcBorders>
            <w:shd w:val="clear" w:color="auto" w:fill="DBDBDB"/>
          </w:tcPr>
          <w:p>
            <w:pPr>
              <w:spacing w:after="0"/>
              <w:rPr>
                <w:sz w:val="15"/>
                <w:szCs w:val="15"/>
                <w:color w:val="auto"/>
              </w:rPr>
            </w:pPr>
          </w:p>
        </w:tc>
        <w:tc>
          <w:tcPr>
            <w:tcW w:w="180" w:type="dxa"/>
            <w:vAlign w:val="bottom"/>
            <w:tcBorders>
              <w:top w:val="single" w:sz="8" w:color="auto"/>
              <w:bottom w:val="single" w:sz="8" w:color="auto"/>
            </w:tcBorders>
            <w:shd w:val="clear" w:color="auto" w:fill="DBDBDB"/>
          </w:tcPr>
          <w:p>
            <w:pPr>
              <w:spacing w:after="0"/>
              <w:rPr>
                <w:sz w:val="15"/>
                <w:szCs w:val="15"/>
                <w:color w:val="auto"/>
              </w:rPr>
            </w:pPr>
          </w:p>
        </w:tc>
        <w:tc>
          <w:tcPr>
            <w:tcW w:w="700" w:type="dxa"/>
            <w:vAlign w:val="bottom"/>
            <w:tcBorders>
              <w:top w:val="single" w:sz="8" w:color="auto"/>
              <w:bottom w:val="single" w:sz="8" w:color="auto"/>
            </w:tcBorders>
            <w:shd w:val="clear" w:color="auto" w:fill="DBDBDB"/>
          </w:tcPr>
          <w:p>
            <w:pPr>
              <w:spacing w:after="0"/>
              <w:rPr>
                <w:sz w:val="15"/>
                <w:szCs w:val="15"/>
                <w:color w:val="auto"/>
              </w:rPr>
            </w:pPr>
          </w:p>
        </w:tc>
        <w:tc>
          <w:tcPr>
            <w:tcW w:w="1920" w:type="dxa"/>
            <w:vAlign w:val="bottom"/>
            <w:tcBorders>
              <w:top w:val="single" w:sz="8" w:color="auto"/>
              <w:bottom w:val="single" w:sz="8" w:color="auto"/>
            </w:tcBorders>
            <w:gridSpan w:val="5"/>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December 31,</w:t>
            </w:r>
          </w:p>
        </w:tc>
        <w:tc>
          <w:tcPr>
            <w:tcW w:w="200" w:type="dxa"/>
            <w:vAlign w:val="bottom"/>
            <w:tcBorders>
              <w:top w:val="single" w:sz="8" w:color="auto"/>
              <w:bottom w:val="single" w:sz="8" w:color="auto"/>
            </w:tcBorders>
            <w:shd w:val="clear" w:color="auto" w:fill="DBDBDB"/>
          </w:tcPr>
          <w:p>
            <w:pPr>
              <w:spacing w:after="0"/>
              <w:rPr>
                <w:sz w:val="15"/>
                <w:szCs w:val="15"/>
                <w:color w:val="auto"/>
              </w:rPr>
            </w:pPr>
          </w:p>
        </w:tc>
        <w:tc>
          <w:tcPr>
            <w:tcW w:w="680" w:type="dxa"/>
            <w:vAlign w:val="bottom"/>
            <w:tcBorders>
              <w:top w:val="single" w:sz="8" w:color="auto"/>
              <w:bottom w:val="single" w:sz="8" w:color="auto"/>
            </w:tcBorders>
            <w:shd w:val="clear" w:color="auto" w:fill="DBDBDB"/>
          </w:tcPr>
          <w:p>
            <w:pPr>
              <w:spacing w:after="0"/>
              <w:rPr>
                <w:sz w:val="15"/>
                <w:szCs w:val="15"/>
                <w:color w:val="auto"/>
              </w:rPr>
            </w:pPr>
          </w:p>
        </w:tc>
      </w:tr>
      <w:tr>
        <w:trPr>
          <w:trHeight w:val="175"/>
        </w:trPr>
        <w:tc>
          <w:tcPr>
            <w:tcW w:w="7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shd w:val="clear" w:color="auto" w:fill="DBDBDB"/>
          </w:tcPr>
          <w:p>
            <w:pPr>
              <w:spacing w:after="0"/>
              <w:rPr>
                <w:sz w:val="15"/>
                <w:szCs w:val="15"/>
                <w:color w:val="auto"/>
              </w:rPr>
            </w:pPr>
          </w:p>
        </w:tc>
      </w:tr>
      <w:tr>
        <w:trPr>
          <w:trHeight w:val="181"/>
        </w:trPr>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Fiber</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r>
      <w:tr>
        <w:trPr>
          <w:trHeight w:val="183"/>
        </w:trPr>
        <w:tc>
          <w:tcPr>
            <w:tcW w:w="7380" w:type="dxa"/>
            <w:vAlign w:val="bottom"/>
            <w:tcBorders>
              <w:top w:val="single" w:sz="8" w:color="DBE5F1"/>
            </w:tcBorders>
            <w:shd w:val="clear" w:color="auto" w:fill="DBE5F1"/>
          </w:tcPr>
          <w:p>
            <w:pPr>
              <w:ind w:left="200"/>
              <w:spacing w:after="0" w:line="183"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tcBorders>
              <w:top w:val="single" w:sz="8" w:color="auto"/>
            </w:tcBorders>
            <w:shd w:val="clear" w:color="auto" w:fill="DBE5F1"/>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73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Segment services and other revenues</w:t>
            </w: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9"/>
        </w:trPr>
        <w:tc>
          <w:tcPr>
            <w:tcW w:w="7380" w:type="dxa"/>
            <w:vAlign w:val="bottom"/>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services and other costs of operations</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9"/>
        </w:trPr>
        <w:tc>
          <w:tcPr>
            <w:tcW w:w="7380" w:type="dxa"/>
            <w:vAlign w:val="bottom"/>
            <w:shd w:val="clear" w:color="auto" w:fill="DBE5F1"/>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1"/>
        </w:trPr>
        <w:tc>
          <w:tcPr>
            <w:tcW w:w="7380" w:type="dxa"/>
            <w:vAlign w:val="bottom"/>
          </w:tcPr>
          <w:p>
            <w:pPr>
              <w:ind w:left="400"/>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(d)(e)</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848</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58"/>
        </w:trPr>
        <w:tc>
          <w:tcPr>
            <w:tcW w:w="7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r>
      <w:tr>
        <w:trPr>
          <w:trHeight w:val="161"/>
        </w:trPr>
        <w:tc>
          <w:tcPr>
            <w:tcW w:w="73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spacing w:after="0"/>
              <w:rPr>
                <w:sz w:val="14"/>
                <w:szCs w:val="14"/>
                <w:color w:val="auto"/>
              </w:rPr>
            </w:pPr>
          </w:p>
        </w:tc>
        <w:tc>
          <w:tcPr>
            <w:tcW w:w="700" w:type="dxa"/>
            <w:vAlign w:val="bottom"/>
            <w:tcBorders>
              <w:bottom w:val="single" w:sz="8" w:color="auto"/>
            </w:tcBorders>
            <w:shd w:val="clear" w:color="auto" w:fill="DBDBDB"/>
          </w:tcPr>
          <w:p>
            <w:pPr>
              <w:spacing w:after="0"/>
              <w:rPr>
                <w:sz w:val="14"/>
                <w:szCs w:val="14"/>
                <w:color w:val="auto"/>
              </w:rPr>
            </w:pPr>
          </w:p>
        </w:tc>
        <w:tc>
          <w:tcPr>
            <w:tcW w:w="1920" w:type="dxa"/>
            <w:vAlign w:val="bottom"/>
            <w:tcBorders>
              <w:bottom w:val="single" w:sz="8" w:color="auto"/>
            </w:tcBorders>
            <w:gridSpan w:val="5"/>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December 31,</w:t>
            </w:r>
          </w:p>
        </w:tc>
        <w:tc>
          <w:tcPr>
            <w:tcW w:w="200" w:type="dxa"/>
            <w:vAlign w:val="bottom"/>
            <w:tcBorders>
              <w:bottom w:val="single" w:sz="8" w:color="auto"/>
            </w:tcBorders>
            <w:shd w:val="clear" w:color="auto" w:fill="DBDBDB"/>
          </w:tcPr>
          <w:p>
            <w:pPr>
              <w:spacing w:after="0"/>
              <w:rPr>
                <w:sz w:val="14"/>
                <w:szCs w:val="14"/>
                <w:color w:val="auto"/>
              </w:rPr>
            </w:pPr>
          </w:p>
        </w:tc>
        <w:tc>
          <w:tcPr>
            <w:tcW w:w="680" w:type="dxa"/>
            <w:vAlign w:val="bottom"/>
            <w:tcBorders>
              <w:bottom w:val="single" w:sz="8" w:color="auto"/>
            </w:tcBorders>
            <w:shd w:val="clear" w:color="auto" w:fill="DBDBDB"/>
          </w:tcPr>
          <w:p>
            <w:pPr>
              <w:spacing w:after="0"/>
              <w:rPr>
                <w:sz w:val="14"/>
                <w:szCs w:val="14"/>
                <w:color w:val="auto"/>
              </w:rPr>
            </w:pPr>
          </w:p>
        </w:tc>
      </w:tr>
      <w:tr>
        <w:trPr>
          <w:trHeight w:val="175"/>
        </w:trPr>
        <w:tc>
          <w:tcPr>
            <w:tcW w:w="7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shd w:val="clear" w:color="auto" w:fill="DBDBDB"/>
          </w:tcPr>
          <w:p>
            <w:pPr>
              <w:spacing w:after="0"/>
              <w:rPr>
                <w:sz w:val="15"/>
                <w:szCs w:val="15"/>
                <w:color w:val="auto"/>
              </w:rPr>
            </w:pPr>
          </w:p>
        </w:tc>
      </w:tr>
      <w:tr>
        <w:trPr>
          <w:trHeight w:val="181"/>
        </w:trPr>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Fiber</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r>
      <w:tr>
        <w:trPr>
          <w:trHeight w:val="183"/>
        </w:trPr>
        <w:tc>
          <w:tcPr>
            <w:tcW w:w="7380" w:type="dxa"/>
            <w:vAlign w:val="bottom"/>
            <w:tcBorders>
              <w:top w:val="single" w:sz="8" w:color="DBE5F1"/>
            </w:tcBorders>
            <w:shd w:val="clear" w:color="auto" w:fill="DBE5F1"/>
          </w:tcPr>
          <w:p>
            <w:pPr>
              <w:ind w:left="200"/>
              <w:spacing w:after="0" w:line="183"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40" w:type="dxa"/>
            <w:vAlign w:val="bottom"/>
            <w:tcBorders>
              <w:top w:val="single" w:sz="8" w:color="auto"/>
            </w:tcBorders>
            <w:shd w:val="clear" w:color="auto" w:fill="DBE5F1"/>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852</w:t>
            </w:r>
          </w:p>
        </w:tc>
        <w:tc>
          <w:tcPr>
            <w:tcW w:w="20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8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73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Segment site rental revenues</w:t>
            </w: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24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20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9"/>
        </w:trPr>
        <w:tc>
          <w:tcPr>
            <w:tcW w:w="7380" w:type="dxa"/>
            <w:vAlign w:val="bottom"/>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site rental other costs of operations</w:t>
            </w:r>
            <w:r>
              <w:rPr>
                <w:rFonts w:ascii="Times New Roman" w:cs="Times New Roman" w:eastAsia="Times New Roman" w:hAnsi="Times New Roman"/>
                <w:sz w:val="18"/>
                <w:szCs w:val="18"/>
                <w:color w:val="auto"/>
                <w:vertAlign w:val="superscript"/>
              </w:rPr>
              <w:t>(c)</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9"/>
        </w:trPr>
        <w:tc>
          <w:tcPr>
            <w:tcW w:w="7380" w:type="dxa"/>
            <w:vAlign w:val="bottom"/>
            <w:shd w:val="clear" w:color="auto" w:fill="DBE5F1"/>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1"/>
        </w:trPr>
        <w:tc>
          <w:tcPr>
            <w:tcW w:w="7380" w:type="dxa"/>
            <w:vAlign w:val="bottom"/>
          </w:tcPr>
          <w:p>
            <w:pPr>
              <w:ind w:left="400"/>
              <w:spacing w:after="0" w:line="181" w:lineRule="exact"/>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(d)(e)</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6"/>
        </w:trPr>
        <w:tc>
          <w:tcPr>
            <w:tcW w:w="7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61"/>
        </w:trPr>
        <w:tc>
          <w:tcPr>
            <w:tcW w:w="73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spacing w:after="0"/>
              <w:rPr>
                <w:sz w:val="14"/>
                <w:szCs w:val="14"/>
                <w:color w:val="auto"/>
              </w:rPr>
            </w:pPr>
          </w:p>
        </w:tc>
        <w:tc>
          <w:tcPr>
            <w:tcW w:w="2820" w:type="dxa"/>
            <w:vAlign w:val="bottom"/>
            <w:tcBorders>
              <w:bottom w:val="single" w:sz="8" w:color="auto"/>
            </w:tcBorders>
            <w:gridSpan w:val="7"/>
            <w:shd w:val="clear" w:color="auto" w:fill="DBDBDB"/>
          </w:tcPr>
          <w:p>
            <w:pPr>
              <w:jc w:val="center"/>
              <w:ind w:left="431"/>
              <w:spacing w:after="0"/>
              <w:rPr>
                <w:sz w:val="20"/>
                <w:szCs w:val="20"/>
                <w:color w:val="auto"/>
              </w:rPr>
            </w:pPr>
            <w:r>
              <w:rPr>
                <w:rFonts w:ascii="Times New Roman" w:cs="Times New Roman" w:eastAsia="Times New Roman" w:hAnsi="Times New Roman"/>
                <w:sz w:val="13"/>
                <w:szCs w:val="13"/>
                <w:b w:val="1"/>
                <w:bCs w:val="1"/>
                <w:color w:val="auto"/>
                <w:w w:val="96"/>
              </w:rPr>
              <w:t>Twelve Months Ended December 31,</w:t>
            </w:r>
          </w:p>
        </w:tc>
        <w:tc>
          <w:tcPr>
            <w:tcW w:w="680" w:type="dxa"/>
            <w:vAlign w:val="bottom"/>
            <w:tcBorders>
              <w:bottom w:val="single" w:sz="8" w:color="auto"/>
            </w:tcBorders>
            <w:shd w:val="clear" w:color="auto" w:fill="DBDBDB"/>
          </w:tcPr>
          <w:p>
            <w:pPr>
              <w:spacing w:after="0"/>
              <w:rPr>
                <w:sz w:val="14"/>
                <w:szCs w:val="14"/>
                <w:color w:val="auto"/>
              </w:rPr>
            </w:pPr>
          </w:p>
        </w:tc>
      </w:tr>
      <w:tr>
        <w:trPr>
          <w:trHeight w:val="175"/>
        </w:trPr>
        <w:tc>
          <w:tcPr>
            <w:tcW w:w="7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shd w:val="clear" w:color="auto" w:fill="DBDBDB"/>
          </w:tcPr>
          <w:p>
            <w:pPr>
              <w:spacing w:after="0"/>
              <w:rPr>
                <w:sz w:val="15"/>
                <w:szCs w:val="15"/>
                <w:color w:val="auto"/>
              </w:rPr>
            </w:pPr>
          </w:p>
        </w:tc>
      </w:tr>
      <w:tr>
        <w:trPr>
          <w:trHeight w:val="181"/>
        </w:trPr>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Fiber</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r>
      <w:tr>
        <w:trPr>
          <w:trHeight w:val="183"/>
        </w:trPr>
        <w:tc>
          <w:tcPr>
            <w:tcW w:w="7380" w:type="dxa"/>
            <w:vAlign w:val="bottom"/>
            <w:tcBorders>
              <w:top w:val="single" w:sz="8" w:color="DBE5F1"/>
            </w:tcBorders>
            <w:shd w:val="clear" w:color="auto" w:fill="DBE5F1"/>
          </w:tcPr>
          <w:p>
            <w:pPr>
              <w:ind w:left="200"/>
              <w:spacing w:after="0" w:line="183"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240" w:type="dxa"/>
            <w:vAlign w:val="bottom"/>
            <w:tcBorders>
              <w:top w:val="single" w:sz="8" w:color="auto"/>
            </w:tcBorders>
            <w:shd w:val="clear" w:color="auto" w:fill="DBE5F1"/>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3,393</w:t>
            </w:r>
          </w:p>
        </w:tc>
        <w:tc>
          <w:tcPr>
            <w:tcW w:w="20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8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73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Segment services and other revenues</w:t>
            </w: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24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20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9"/>
        </w:trPr>
        <w:tc>
          <w:tcPr>
            <w:tcW w:w="7380" w:type="dxa"/>
            <w:vAlign w:val="bottom"/>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services and other costs of operations</w:t>
            </w:r>
            <w:r>
              <w:rPr>
                <w:rFonts w:ascii="Times New Roman" w:cs="Times New Roman" w:eastAsia="Times New Roman" w:hAnsi="Times New Roman"/>
                <w:sz w:val="18"/>
                <w:szCs w:val="18"/>
                <w:color w:val="auto"/>
                <w:vertAlign w:val="superscript"/>
              </w:rPr>
              <w:t>(a)</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9"/>
        </w:trPr>
        <w:tc>
          <w:tcPr>
            <w:tcW w:w="7380" w:type="dxa"/>
            <w:vAlign w:val="bottom"/>
            <w:shd w:val="clear" w:color="auto" w:fill="DBE5F1"/>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1"/>
        </w:trPr>
        <w:tc>
          <w:tcPr>
            <w:tcW w:w="7380" w:type="dxa"/>
            <w:vAlign w:val="bottom"/>
          </w:tcPr>
          <w:p>
            <w:pPr>
              <w:ind w:left="400"/>
              <w:spacing w:after="0" w:line="181" w:lineRule="exact"/>
              <w:rPr>
                <w:sz w:val="20"/>
                <w:szCs w:val="20"/>
                <w:color w:val="auto"/>
              </w:rPr>
            </w:pPr>
            <w:r>
              <w:rPr>
                <w:rFonts w:ascii="Times New Roman" w:cs="Times New Roman" w:eastAsia="Times New Roman" w:hAnsi="Times New Roman"/>
                <w:sz w:val="14"/>
                <w:szCs w:val="14"/>
                <w:color w:val="auto"/>
              </w:rPr>
              <w:t>Segment Adjusted Site Rental Gross Margin</w:t>
            </w:r>
            <w:r>
              <w:rPr>
                <w:rFonts w:ascii="Times New Roman" w:cs="Times New Roman" w:eastAsia="Times New Roman" w:hAnsi="Times New Roman"/>
                <w:sz w:val="18"/>
                <w:szCs w:val="18"/>
                <w:color w:val="auto"/>
                <w:vertAlign w:val="superscript"/>
              </w:rPr>
              <w:t>(d)(e)</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3,370</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6"/>
        </w:trPr>
        <w:tc>
          <w:tcPr>
            <w:tcW w:w="7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61"/>
        </w:trPr>
        <w:tc>
          <w:tcPr>
            <w:tcW w:w="738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auto"/>
            </w:tcBorders>
            <w:shd w:val="clear" w:color="auto" w:fill="DBDBDB"/>
          </w:tcPr>
          <w:p>
            <w:pPr>
              <w:spacing w:after="0"/>
              <w:rPr>
                <w:sz w:val="14"/>
                <w:szCs w:val="14"/>
                <w:color w:val="auto"/>
              </w:rPr>
            </w:pPr>
          </w:p>
        </w:tc>
        <w:tc>
          <w:tcPr>
            <w:tcW w:w="2820" w:type="dxa"/>
            <w:vAlign w:val="bottom"/>
            <w:tcBorders>
              <w:bottom w:val="single" w:sz="8" w:color="auto"/>
            </w:tcBorders>
            <w:gridSpan w:val="7"/>
            <w:shd w:val="clear" w:color="auto" w:fill="DBDBDB"/>
          </w:tcPr>
          <w:p>
            <w:pPr>
              <w:jc w:val="center"/>
              <w:ind w:left="431"/>
              <w:spacing w:after="0"/>
              <w:rPr>
                <w:sz w:val="20"/>
                <w:szCs w:val="20"/>
                <w:color w:val="auto"/>
              </w:rPr>
            </w:pPr>
            <w:r>
              <w:rPr>
                <w:rFonts w:ascii="Times New Roman" w:cs="Times New Roman" w:eastAsia="Times New Roman" w:hAnsi="Times New Roman"/>
                <w:sz w:val="13"/>
                <w:szCs w:val="13"/>
                <w:b w:val="1"/>
                <w:bCs w:val="1"/>
                <w:color w:val="auto"/>
                <w:w w:val="96"/>
              </w:rPr>
              <w:t>Twelve Months Ended December 31,</w:t>
            </w:r>
          </w:p>
        </w:tc>
        <w:tc>
          <w:tcPr>
            <w:tcW w:w="680" w:type="dxa"/>
            <w:vAlign w:val="bottom"/>
            <w:tcBorders>
              <w:bottom w:val="single" w:sz="8" w:color="auto"/>
            </w:tcBorders>
            <w:shd w:val="clear" w:color="auto" w:fill="DBDBDB"/>
          </w:tcPr>
          <w:p>
            <w:pPr>
              <w:spacing w:after="0"/>
              <w:rPr>
                <w:sz w:val="14"/>
                <w:szCs w:val="14"/>
                <w:color w:val="auto"/>
              </w:rPr>
            </w:pPr>
          </w:p>
        </w:tc>
      </w:tr>
      <w:tr>
        <w:trPr>
          <w:trHeight w:val="175"/>
        </w:trPr>
        <w:tc>
          <w:tcPr>
            <w:tcW w:w="73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of dollars)</w:t>
            </w: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2023</w:t>
            </w:r>
          </w:p>
        </w:tc>
        <w:tc>
          <w:tcPr>
            <w:tcW w:w="680" w:type="dxa"/>
            <w:vAlign w:val="bottom"/>
            <w:tcBorders>
              <w:bottom w:val="single" w:sz="8" w:color="auto"/>
            </w:tcBorders>
            <w:shd w:val="clear" w:color="auto" w:fill="DBDBDB"/>
          </w:tcPr>
          <w:p>
            <w:pPr>
              <w:spacing w:after="0"/>
              <w:rPr>
                <w:sz w:val="15"/>
                <w:szCs w:val="15"/>
                <w:color w:val="auto"/>
              </w:rPr>
            </w:pPr>
          </w:p>
        </w:tc>
      </w:tr>
      <w:tr>
        <w:trPr>
          <w:trHeight w:val="181"/>
        </w:trPr>
        <w:tc>
          <w:tcPr>
            <w:tcW w:w="7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Towers</w:t>
            </w:r>
          </w:p>
        </w:tc>
        <w:tc>
          <w:tcPr>
            <w:tcW w:w="2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Fiber</w:t>
            </w:r>
          </w:p>
        </w:tc>
        <w:tc>
          <w:tcPr>
            <w:tcW w:w="180" w:type="dxa"/>
            <w:vAlign w:val="bottom"/>
          </w:tcPr>
          <w:p>
            <w:pPr>
              <w:spacing w:after="0"/>
              <w:rPr>
                <w:sz w:val="15"/>
                <w:szCs w:val="15"/>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Towers</w:t>
            </w:r>
          </w:p>
        </w:tc>
        <w:tc>
          <w:tcPr>
            <w:tcW w:w="200" w:type="dxa"/>
            <w:vAlign w:val="bottom"/>
          </w:tcPr>
          <w:p>
            <w:pPr>
              <w:spacing w:after="0"/>
              <w:rPr>
                <w:sz w:val="15"/>
                <w:szCs w:val="15"/>
                <w:color w:val="auto"/>
              </w:rPr>
            </w:pPr>
          </w:p>
        </w:tc>
        <w:tc>
          <w:tcPr>
            <w:tcW w:w="6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Fiber</w:t>
            </w:r>
          </w:p>
        </w:tc>
      </w:tr>
      <w:tr>
        <w:trPr>
          <w:trHeight w:val="183"/>
        </w:trPr>
        <w:tc>
          <w:tcPr>
            <w:tcW w:w="7380" w:type="dxa"/>
            <w:vAlign w:val="bottom"/>
            <w:tcBorders>
              <w:top w:val="single" w:sz="8" w:color="DBE5F1"/>
            </w:tcBorders>
            <w:shd w:val="clear" w:color="auto" w:fill="DBE5F1"/>
          </w:tcPr>
          <w:p>
            <w:pPr>
              <w:ind w:left="200"/>
              <w:spacing w:after="0" w:line="183" w:lineRule="exact"/>
              <w:rPr>
                <w:sz w:val="20"/>
                <w:szCs w:val="20"/>
                <w:color w:val="auto"/>
              </w:rPr>
            </w:pPr>
            <w:r>
              <w:rPr>
                <w:rFonts w:ascii="Times New Roman" w:cs="Times New Roman" w:eastAsia="Times New Roman" w:hAnsi="Times New Roman"/>
                <w:sz w:val="14"/>
                <w:szCs w:val="14"/>
                <w:color w:val="auto"/>
              </w:rPr>
              <w:t>Segment operating profit (loss)</w:t>
            </w:r>
            <w:r>
              <w:rPr>
                <w:rFonts w:ascii="Times New Roman" w:cs="Times New Roman" w:eastAsia="Times New Roman" w:hAnsi="Times New Roman"/>
                <w:sz w:val="18"/>
                <w:szCs w:val="18"/>
                <w:color w:val="auto"/>
                <w:vertAlign w:val="superscript"/>
              </w:rPr>
              <w:t>(d)</w:t>
            </w: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240" w:type="dxa"/>
            <w:vAlign w:val="bottom"/>
            <w:tcBorders>
              <w:top w:val="single" w:sz="8" w:color="auto"/>
            </w:tcBorders>
            <w:shd w:val="clear" w:color="auto" w:fill="DBE5F1"/>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top w:val="single" w:sz="8" w:color="DBE5F1"/>
            </w:tcBorders>
            <w:shd w:val="clear" w:color="auto" w:fill="DBE5F1"/>
          </w:tcPr>
          <w:p>
            <w:pPr>
              <w:spacing w:after="0"/>
              <w:rPr>
                <w:sz w:val="15"/>
                <w:szCs w:val="15"/>
                <w:color w:val="auto"/>
              </w:rPr>
            </w:pPr>
          </w:p>
        </w:tc>
        <w:tc>
          <w:tcPr>
            <w:tcW w:w="180" w:type="dxa"/>
            <w:vAlign w:val="bottom"/>
            <w:tcBorders>
              <w:top w:val="single" w:sz="8" w:color="auto"/>
            </w:tcBorders>
            <w:shd w:val="clear" w:color="auto" w:fill="DBE5F1"/>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3,393</w:t>
            </w:r>
          </w:p>
        </w:tc>
        <w:tc>
          <w:tcPr>
            <w:tcW w:w="200" w:type="dxa"/>
            <w:vAlign w:val="bottom"/>
            <w:tcBorders>
              <w:top w:val="single" w:sz="8" w:color="auto"/>
            </w:tcBorders>
            <w:shd w:val="clear" w:color="auto" w:fill="DBE5F1"/>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8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increase (decrease) segment operating profit (loss):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2"/>
        </w:trPr>
        <w:tc>
          <w:tcPr>
            <w:tcW w:w="738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4"/>
                <w:szCs w:val="14"/>
                <w:color w:val="auto"/>
              </w:rPr>
              <w:t>Segment site rental revenues</w:t>
            </w:r>
          </w:p>
        </w:tc>
        <w:tc>
          <w:tcPr>
            <w:tcW w:w="180" w:type="dxa"/>
            <w:vAlign w:val="bottom"/>
            <w:shd w:val="clear" w:color="auto" w:fill="DBE5F1"/>
          </w:tcPr>
          <w:p>
            <w:pPr>
              <w:spacing w:after="0"/>
              <w:rPr>
                <w:sz w:val="16"/>
                <w:szCs w:val="16"/>
                <w:color w:val="auto"/>
              </w:rPr>
            </w:pP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24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80" w:type="dxa"/>
            <w:vAlign w:val="bottom"/>
            <w:shd w:val="clear" w:color="auto" w:fill="DBE5F1"/>
          </w:tcPr>
          <w:p>
            <w:pPr>
              <w:spacing w:after="0"/>
              <w:rPr>
                <w:sz w:val="16"/>
                <w:szCs w:val="16"/>
                <w:color w:val="auto"/>
              </w:rPr>
            </w:pPr>
          </w:p>
        </w:tc>
        <w:tc>
          <w:tcPr>
            <w:tcW w:w="180" w:type="dxa"/>
            <w:vAlign w:val="bottom"/>
            <w:shd w:val="clear" w:color="auto" w:fill="DBE5F1"/>
          </w:tcPr>
          <w:p>
            <w:pPr>
              <w:spacing w:after="0"/>
              <w:rPr>
                <w:sz w:val="16"/>
                <w:szCs w:val="16"/>
                <w:color w:val="auto"/>
              </w:rPr>
            </w:pP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200" w:type="dxa"/>
            <w:vAlign w:val="bottom"/>
            <w:shd w:val="clear" w:color="auto" w:fill="DBE5F1"/>
          </w:tcPr>
          <w:p>
            <w:pPr>
              <w:spacing w:after="0"/>
              <w:rPr>
                <w:sz w:val="16"/>
                <w:szCs w:val="16"/>
                <w:color w:val="auto"/>
              </w:rPr>
            </w:pPr>
          </w:p>
        </w:tc>
        <w:tc>
          <w:tcPr>
            <w:tcW w:w="6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(2,219)</w:t>
            </w:r>
          </w:p>
        </w:tc>
      </w:tr>
      <w:tr>
        <w:trPr>
          <w:trHeight w:val="189"/>
        </w:trPr>
        <w:tc>
          <w:tcPr>
            <w:tcW w:w="7380" w:type="dxa"/>
            <w:vAlign w:val="bottom"/>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site rental other costs of operations</w:t>
            </w:r>
            <w:r>
              <w:rPr>
                <w:rFonts w:ascii="Times New Roman" w:cs="Times New Roman" w:eastAsia="Times New Roman" w:hAnsi="Times New Roman"/>
                <w:sz w:val="18"/>
                <w:szCs w:val="18"/>
                <w:color w:val="auto"/>
                <w:vertAlign w:val="superscript"/>
              </w:rPr>
              <w:t>(c)</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189"/>
        </w:trPr>
        <w:tc>
          <w:tcPr>
            <w:tcW w:w="7380" w:type="dxa"/>
            <w:vAlign w:val="bottom"/>
            <w:shd w:val="clear" w:color="auto" w:fill="DBE5F1"/>
          </w:tcPr>
          <w:p>
            <w:pPr>
              <w:ind w:left="180"/>
              <w:spacing w:after="0" w:line="189" w:lineRule="exact"/>
              <w:rPr>
                <w:sz w:val="20"/>
                <w:szCs w:val="20"/>
                <w:color w:val="auto"/>
              </w:rPr>
            </w:pPr>
            <w:r>
              <w:rPr>
                <w:rFonts w:ascii="Times New Roman" w:cs="Times New Roman" w:eastAsia="Times New Roman" w:hAnsi="Times New Roman"/>
                <w:sz w:val="14"/>
                <w:szCs w:val="14"/>
                <w:color w:val="auto"/>
              </w:rPr>
              <w:t>Segment selling, general and administrative expenses</w:t>
            </w:r>
            <w:r>
              <w:rPr>
                <w:rFonts w:ascii="Times New Roman" w:cs="Times New Roman" w:eastAsia="Times New Roman" w:hAnsi="Times New Roman"/>
                <w:sz w:val="18"/>
                <w:szCs w:val="18"/>
                <w:color w:val="auto"/>
                <w:vertAlign w:val="superscript"/>
              </w:rPr>
              <w:t>(b)</w:t>
            </w:r>
          </w:p>
        </w:tc>
        <w:tc>
          <w:tcPr>
            <w:tcW w:w="180" w:type="dxa"/>
            <w:vAlign w:val="bottom"/>
            <w:tcBorders>
              <w:bottom w:val="single" w:sz="8" w:color="auto"/>
            </w:tcBorders>
            <w:shd w:val="clear" w:color="auto" w:fill="DBE5F1"/>
          </w:tcPr>
          <w:p>
            <w:pPr>
              <w:spacing w:after="0"/>
              <w:rPr>
                <w:sz w:val="16"/>
                <w:szCs w:val="16"/>
                <w:color w:val="auto"/>
              </w:rPr>
            </w:pPr>
          </w:p>
        </w:tc>
        <w:tc>
          <w:tcPr>
            <w:tcW w:w="7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DBE5F1"/>
          </w:tcPr>
          <w:p>
            <w:pPr>
              <w:spacing w:after="0"/>
              <w:rPr>
                <w:sz w:val="16"/>
                <w:szCs w:val="16"/>
                <w:color w:val="auto"/>
              </w:rPr>
            </w:pPr>
          </w:p>
        </w:tc>
        <w:tc>
          <w:tcPr>
            <w:tcW w:w="180" w:type="dxa"/>
            <w:vAlign w:val="bottom"/>
            <w:tcBorders>
              <w:bottom w:val="single" w:sz="8" w:color="auto"/>
            </w:tcBorders>
            <w:shd w:val="clear" w:color="auto" w:fill="DBE5F1"/>
          </w:tcPr>
          <w:p>
            <w:pPr>
              <w:spacing w:after="0"/>
              <w:rPr>
                <w:sz w:val="16"/>
                <w:szCs w:val="16"/>
                <w:color w:val="auto"/>
              </w:rPr>
            </w:pPr>
          </w:p>
        </w:tc>
        <w:tc>
          <w:tcPr>
            <w:tcW w:w="740" w:type="dxa"/>
            <w:vAlign w:val="bottom"/>
            <w:tcBorders>
              <w:bottom w:val="single" w:sz="8" w:color="auto"/>
            </w:tcBorders>
            <w:shd w:val="clear" w:color="auto" w:fill="DBE5F1"/>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tcBorders>
              <w:bottom w:val="single" w:sz="8" w:color="auto"/>
            </w:tcBorders>
            <w:shd w:val="clear" w:color="auto" w:fill="DBE5F1"/>
          </w:tcPr>
          <w:p>
            <w:pPr>
              <w:spacing w:after="0"/>
              <w:rPr>
                <w:sz w:val="16"/>
                <w:szCs w:val="16"/>
                <w:color w:val="auto"/>
              </w:rPr>
            </w:pPr>
          </w:p>
        </w:tc>
        <w:tc>
          <w:tcPr>
            <w:tcW w:w="6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1"/>
        </w:trPr>
        <w:tc>
          <w:tcPr>
            <w:tcW w:w="7380" w:type="dxa"/>
            <w:vAlign w:val="bottom"/>
          </w:tcPr>
          <w:p>
            <w:pPr>
              <w:ind w:left="400"/>
              <w:spacing w:after="0" w:line="181" w:lineRule="exact"/>
              <w:rPr>
                <w:sz w:val="20"/>
                <w:szCs w:val="20"/>
                <w:color w:val="auto"/>
              </w:rPr>
            </w:pPr>
            <w:r>
              <w:rPr>
                <w:rFonts w:ascii="Times New Roman" w:cs="Times New Roman" w:eastAsia="Times New Roman" w:hAnsi="Times New Roman"/>
                <w:sz w:val="14"/>
                <w:szCs w:val="14"/>
                <w:color w:val="auto"/>
              </w:rPr>
              <w:t>Segment Adjusted Services and Other Gross Margin</w:t>
            </w:r>
            <w:r>
              <w:rPr>
                <w:rFonts w:ascii="Times New Roman" w:cs="Times New Roman" w:eastAsia="Times New Roman" w:hAnsi="Times New Roman"/>
                <w:sz w:val="18"/>
                <w:szCs w:val="18"/>
                <w:color w:val="auto"/>
                <w:vertAlign w:val="superscript"/>
              </w:rPr>
              <w:t>(d)(e)</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127</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7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285" w:right="180" w:hanging="285"/>
        <w:spacing w:after="0" w:line="248" w:lineRule="auto"/>
        <w:tabs>
          <w:tab w:leader="none" w:pos="283"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services and other costs of operations for the three months ended December 31, 2024 and 2023 excludes stock-based compensation expense, net of $1 million and $2 million, respectively. Segment services and other costs of operations for the years ended December 31, 2024 and 2023 excludes stock-based compensation expense, net of $6 million and $10 million, respectively.</w:t>
      </w:r>
    </w:p>
    <w:p>
      <w:pPr>
        <w:ind w:left="285" w:right="220" w:hanging="285"/>
        <w:spacing w:after="0" w:line="244" w:lineRule="auto"/>
        <w:tabs>
          <w:tab w:leader="none" w:pos="27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selling, general and administrative expenses for the three months ended December 31, 2024 and 2023 excludes stock-based compensation expense, net of $7 million and $11 million, respectively. Segment selling, general and administrative expenses for the years ended December 31, 2024 and 2023 excludes stock-based compensation expense, net of $44 million and $50 million, respectively.</w:t>
      </w:r>
    </w:p>
    <w:p>
      <w:pPr>
        <w:ind w:left="285" w:right="160" w:hanging="285"/>
        <w:spacing w:after="0" w:line="242" w:lineRule="auto"/>
        <w:tabs>
          <w:tab w:leader="none" w:pos="283"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site rental costs of operations for the three months ended December 31, 2024 and 2023 excludes stock-based compensation expense, net of $4 million for each year. Additionally, segment site rental costs of operations excludes prepaid lease purchase price adjustments of $4 million for each of the three months ended December 31, 2024 and 2023. Segment site rental costs of operations for the years ended December 31, 2024 and 2023 excludes stock-based compensation expense, net of $19 million in each year. Additionally, segment site rental costs of operations excludes prepaid lease purchase price adjustments of $16 million in each of the years ended December 31, 2024 and 2023.</w:t>
      </w:r>
    </w:p>
    <w:p>
      <w:pPr>
        <w:ind w:left="285" w:right="20" w:hanging="285"/>
        <w:spacing w:after="0" w:line="246" w:lineRule="auto"/>
        <w:tabs>
          <w:tab w:leader="none" w:pos="279"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this "</w:t>
      </w:r>
      <w:r>
        <w:rPr>
          <w:rFonts w:ascii="Times New Roman" w:cs="Times New Roman" w:eastAsia="Times New Roman" w:hAnsi="Times New Roman"/>
          <w:sz w:val="13"/>
          <w:szCs w:val="13"/>
          <w:i w:val="1"/>
          <w:iCs w:val="1"/>
          <w:color w:val="auto"/>
        </w:rPr>
        <w:t>Non-GAAP Measures and Other Information</w:t>
      </w:r>
      <w:r>
        <w:rPr>
          <w:rFonts w:ascii="Times New Roman" w:cs="Times New Roman" w:eastAsia="Times New Roman" w:hAnsi="Times New Roman"/>
          <w:sz w:val="13"/>
          <w:szCs w:val="13"/>
          <w:color w:val="auto"/>
        </w:rPr>
        <w:t>" for a discussion and our definitions of Segment Adjusted Site Rental Gross Margin, Segment Adjusted Services and Other Gross Margin and segment operating profit (loss).</w:t>
      </w:r>
    </w:p>
    <w:p>
      <w:pPr>
        <w:spacing w:after="0" w:line="1" w:lineRule="exact"/>
        <w:rPr>
          <w:rFonts w:ascii="Times New Roman" w:cs="Times New Roman" w:eastAsia="Times New Roman" w:hAnsi="Times New Roman"/>
          <w:sz w:val="13"/>
          <w:szCs w:val="13"/>
          <w:color w:val="auto"/>
        </w:rPr>
      </w:pPr>
    </w:p>
    <w:p>
      <w:pPr>
        <w:ind w:left="285" w:hanging="285"/>
        <w:spacing w:after="0"/>
        <w:tabs>
          <w:tab w:leader="none" w:pos="285"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Exclusive of depreciation, amortization and accretion shown separately.</w:t>
      </w:r>
    </w:p>
    <w:p>
      <w:pPr>
        <w:spacing w:after="0" w:line="36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38</w:t>
      </w:r>
    </w:p>
    <w:sectPr>
      <w:pgSz w:w="11900" w:h="16838" w:orient="portrait"/>
      <w:cols w:equalWidth="0" w:num="1">
        <w:col w:w="11265"/>
      </w:cols>
      <w:pgMar w:left="315" w:top="1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1"/>
    </w:lvl>
  </w:abstractNum>
  <w:abstractNum w:abstractNumId="2">
    <w:nsid w:val="419AC241"/>
    <w:multiLevelType w:val="hybridMultilevel"/>
    <w:lvl w:ilvl="0">
      <w:lvlJc w:val="left"/>
      <w:lvlText w:val="(%1)"/>
      <w:numFmt w:val="lowerLetter"/>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lowerLetter"/>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lowerLetter"/>
      <w:start w:val="1"/>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lowerLetter"/>
      <w:start w:val="1"/>
    </w:lvl>
  </w:abstractNum>
  <w:abstractNum w:abstractNumId="16">
    <w:nsid w:val="3855585C"/>
    <w:multiLevelType w:val="hybridMultilevel"/>
    <w:lvl w:ilvl="0">
      <w:lvlJc w:val="left"/>
      <w:lvlText w:val="(%1)"/>
      <w:numFmt w:val="lowerLetter"/>
      <w:start w:val="1"/>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1"/>
    </w:lvl>
  </w:abstractNum>
  <w:abstractNum w:abstractNumId="20">
    <w:nsid w:val="1D4ED43B"/>
    <w:multiLevelType w:val="hybridMultilevel"/>
    <w:lvl w:ilvl="0">
      <w:lvlJc w:val="left"/>
      <w:lvlText w:val="(%1)"/>
      <w:numFmt w:val="lowerLetter"/>
      <w:start w:val="1"/>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2"/>
    </w:lvl>
  </w:abstractNum>
  <w:abstractNum w:abstractNumId="23">
    <w:nsid w:val="57E4CCAF"/>
    <w:multiLevelType w:val="hybridMultilevel"/>
    <w:lvl w:ilvl="0">
      <w:lvlJc w:val="left"/>
      <w:lvlText w:val="(%1)"/>
      <w:numFmt w:val="lowerLetter"/>
      <w:start w:val="1"/>
    </w:lvl>
  </w:abstractNum>
  <w:abstractNum w:abstractNumId="24">
    <w:nsid w:val="7A6D8D3C"/>
    <w:multiLevelType w:val="hybridMultilevel"/>
    <w:lvl w:ilvl="0">
      <w:lvlJc w:val="left"/>
      <w:lvlText w:val="(%1)"/>
      <w:numFmt w:val="lowerLetter"/>
      <w:start w:val="1"/>
    </w:lvl>
  </w:abstractNum>
  <w:abstractNum w:abstractNumId="25">
    <w:nsid w:val="4B588F54"/>
    <w:multiLevelType w:val="hybridMultilevel"/>
    <w:lvl w:ilvl="0">
      <w:lvlJc w:val="left"/>
      <w:lvlText w:val="$"/>
      <w:numFmt w:val="bullet"/>
      <w:start w:val="1"/>
    </w:lvl>
    <w:lvl w:ilvl="1">
      <w:lvlJc w:val="left"/>
      <w:lvlText w:val="\emdash "/>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lowerLetter"/>
      <w:start w:val="3"/>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lowerLetter"/>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
      <w:numFmt w:val="bullet"/>
      <w:start w:val="1"/>
    </w:lvl>
    <w:lvl w:ilvl="1">
      <w:lvlJc w:val="left"/>
      <w:lvlText w:val="◦"/>
      <w:numFmt w:val="bullet"/>
      <w:start w:val="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1"/>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1"/>
    </w:lvl>
  </w:abstractNum>
  <w:abstractNum w:abstractNumId="43">
    <w:nsid w:val="23F9C13C"/>
    <w:multiLevelType w:val="hybridMultilevel"/>
    <w:lvl w:ilvl="0">
      <w:lvlJc w:val="left"/>
      <w:lvlText w:val="(%1)"/>
      <w:numFmt w:val="lowerLetter"/>
      <w:start w:val="1"/>
    </w:lvl>
  </w:abstractNum>
  <w:abstractNum w:abstractNumId="44">
    <w:nsid w:val="649BB77C"/>
    <w:multiLevelType w:val="hybridMultilevel"/>
    <w:lvl w:ilvl="0">
      <w:lvlJc w:val="left"/>
      <w:lvlText w:val="(%1)"/>
      <w:numFmt w:val="lowerLetter"/>
      <w:start w:val="1"/>
    </w:lvl>
    <w:lvl w:ilvl="1">
      <w:lvlJc w:val="left"/>
      <w:lvlText w:val="%2."/>
      <w:numFmt w:val="lowerRoman"/>
      <w:start w:val="1"/>
    </w:lvl>
  </w:abstractNum>
  <w:abstractNum w:abstractNumId="45">
    <w:nsid w:val="275AC794"/>
    <w:multiLevelType w:val="hybridMultilevel"/>
    <w:lvl w:ilvl="0">
      <w:lvlJc w:val="left"/>
      <w:lvlText w:val="(%1)"/>
      <w:numFmt w:val="lowerLetter"/>
      <w:start w:val="1"/>
    </w:lvl>
  </w:abstractNum>
  <w:abstractNum w:abstractNumId="46">
    <w:nsid w:val="39386575"/>
    <w:multiLevelType w:val="hybridMultilevel"/>
    <w:lvl w:ilvl="0">
      <w:lvlJc w:val="left"/>
      <w:lvlText w:val="(%1)"/>
      <w:numFmt w:val="lowerLetter"/>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2025-03-13T15:44:45Z</dcterms:created>
  <dcterms:modified xsi:type="dcterms:W3CDTF">2025-03-13T15:44:45Z</dcterms:modified>
</cp:coreProperties>
</file>