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6" w:lineRule="exact"/>
        <w:rPr>
          <w:sz w:val="24"/>
          <w:szCs w:val="24"/>
          <w:color w:val="auto"/>
        </w:rPr>
      </w:pPr>
    </w:p>
    <w:p>
      <w:pPr>
        <w:ind w:left="1460" w:hanging="239"/>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quarterly period ended September 30, 2017</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44" w:lineRule="exact"/>
        <w:rPr>
          <w:sz w:val="24"/>
          <w:szCs w:val="24"/>
          <w:color w:val="auto"/>
        </w:rPr>
      </w:pPr>
    </w:p>
    <w:p>
      <w:pPr>
        <w:ind w:left="1460" w:hanging="239"/>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4" w:lineRule="exact"/>
        <w:rPr>
          <w:sz w:val="24"/>
          <w:szCs w:val="24"/>
          <w:color w:val="auto"/>
        </w:rPr>
      </w:pPr>
    </w:p>
    <w:p>
      <w:pPr>
        <w:ind w:left="4240"/>
        <w:spacing w:after="0"/>
        <w:tabs>
          <w:tab w:leader="none" w:pos="6480" w:val="left"/>
        </w:tabs>
        <w:rPr>
          <w:sz w:val="20"/>
          <w:szCs w:val="20"/>
          <w:color w:val="auto"/>
        </w:rPr>
      </w:pPr>
      <w:r>
        <w:rPr>
          <w:rFonts w:ascii="Arial" w:cs="Arial" w:eastAsia="Arial" w:hAnsi="Arial"/>
          <w:sz w:val="17"/>
          <w:szCs w:val="17"/>
          <w:color w:val="auto"/>
        </w:rPr>
        <w:t>For the transition period</w:t>
      </w:r>
      <w:r>
        <w:rPr>
          <w:sz w:val="20"/>
          <w:szCs w:val="20"/>
          <w:color w:val="auto"/>
        </w:rPr>
        <w:tab/>
      </w:r>
      <w:r>
        <w:rPr>
          <w:rFonts w:ascii="Arial" w:cs="Arial" w:eastAsia="Arial" w:hAnsi="Arial"/>
          <w:sz w:val="16"/>
          <w:szCs w:val="16"/>
          <w:color w:val="auto"/>
        </w:rPr>
        <w:t>to</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Number 333-187970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90" w:lineRule="exact"/>
        <w:rPr>
          <w:sz w:val="24"/>
          <w:szCs w:val="24"/>
          <w:color w:val="auto"/>
        </w:rPr>
      </w:pPr>
    </w:p>
    <w:tbl>
      <w:tblPr>
        <w:tblLayout w:type="fixed"/>
        <w:tblInd w:w="2720" w:type="dxa"/>
        <w:tblCellMar>
          <w:top w:w="0" w:type="dxa"/>
          <w:left w:w="0" w:type="dxa"/>
          <w:bottom w:w="0" w:type="dxa"/>
          <w:right w:w="0" w:type="dxa"/>
        </w:tblCellMar>
      </w:tblPr>
      <w:tr>
        <w:trPr>
          <w:trHeight w:val="222"/>
        </w:trPr>
        <w:tc>
          <w:tcPr>
            <w:tcW w:w="3200" w:type="dxa"/>
            <w:vAlign w:val="bottom"/>
          </w:tcPr>
          <w:p>
            <w:pPr>
              <w:jc w:val="center"/>
              <w:ind w:right="1350"/>
              <w:spacing w:after="0"/>
              <w:rPr>
                <w:sz w:val="20"/>
                <w:szCs w:val="20"/>
                <w:color w:val="auto"/>
              </w:rPr>
            </w:pPr>
            <w:r>
              <w:rPr>
                <w:rFonts w:ascii="Arial" w:cs="Arial" w:eastAsia="Arial" w:hAnsi="Arial"/>
                <w:sz w:val="17"/>
                <w:szCs w:val="17"/>
                <w:b w:val="1"/>
                <w:bCs w:val="1"/>
                <w:color w:val="auto"/>
                <w:w w:val="93"/>
              </w:rPr>
              <w:t>Delaware</w:t>
            </w:r>
          </w:p>
        </w:tc>
        <w:tc>
          <w:tcPr>
            <w:tcW w:w="2400" w:type="dxa"/>
            <w:vAlign w:val="bottom"/>
          </w:tcPr>
          <w:p>
            <w:pPr>
              <w:jc w:val="center"/>
              <w:ind w:left="1330"/>
              <w:spacing w:after="0"/>
              <w:rPr>
                <w:sz w:val="20"/>
                <w:szCs w:val="20"/>
                <w:color w:val="auto"/>
              </w:rPr>
            </w:pPr>
            <w:r>
              <w:rPr>
                <w:rFonts w:ascii="Arial" w:cs="Arial" w:eastAsia="Arial" w:hAnsi="Arial"/>
                <w:sz w:val="17"/>
                <w:szCs w:val="17"/>
                <w:b w:val="1"/>
                <w:bCs w:val="1"/>
                <w:color w:val="auto"/>
                <w:w w:val="92"/>
              </w:rPr>
              <w:t>20-4300339</w:t>
            </w:r>
          </w:p>
        </w:tc>
      </w:tr>
      <w:tr>
        <w:trPr>
          <w:trHeight w:val="175"/>
        </w:trPr>
        <w:tc>
          <w:tcPr>
            <w:tcW w:w="3200" w:type="dxa"/>
            <w:vAlign w:val="bottom"/>
          </w:tcPr>
          <w:p>
            <w:pPr>
              <w:jc w:val="center"/>
              <w:ind w:right="1370"/>
              <w:spacing w:after="0"/>
              <w:rPr>
                <w:sz w:val="20"/>
                <w:szCs w:val="20"/>
                <w:color w:val="auto"/>
              </w:rPr>
            </w:pPr>
            <w:r>
              <w:rPr>
                <w:rFonts w:ascii="Arial" w:cs="Arial" w:eastAsia="Arial" w:hAnsi="Arial"/>
                <w:sz w:val="13"/>
                <w:szCs w:val="13"/>
                <w:b w:val="1"/>
                <w:bCs w:val="1"/>
                <w:color w:val="auto"/>
                <w:w w:val="88"/>
              </w:rPr>
              <w:t>(State or other jurisdiction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135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1220 Augusta Drive, Suite 600, Houston, Texas 77057-2261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(713) 570-3000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30" w:lineRule="exact"/>
        <w:rPr>
          <w:sz w:val="24"/>
          <w:szCs w:val="24"/>
          <w:color w:val="auto"/>
        </w:rPr>
      </w:pPr>
    </w:p>
    <w:p>
      <w:pPr>
        <w:jc w:val="both"/>
        <w:ind w:right="54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29" w:lineRule="exact"/>
        <w:rPr>
          <w:sz w:val="24"/>
          <w:szCs w:val="24"/>
          <w:color w:val="auto"/>
        </w:rPr>
      </w:pPr>
    </w:p>
    <w:p>
      <w:pPr>
        <w:ind w:right="400" w:firstLine="32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ind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40" w:type="dxa"/>
            <w:vAlign w:val="bottom"/>
          </w:tcPr>
          <w:p>
            <w:pPr>
              <w:ind w:left="260"/>
              <w:spacing w:after="0"/>
              <w:rPr>
                <w:sz w:val="20"/>
                <w:szCs w:val="20"/>
                <w:color w:val="auto"/>
              </w:rPr>
            </w:pPr>
            <w:r>
              <w:rPr>
                <w:rFonts w:ascii="Arial" w:cs="Arial" w:eastAsia="Arial" w:hAnsi="Arial"/>
                <w:sz w:val="16"/>
                <w:szCs w:val="16"/>
                <w:color w:val="auto"/>
              </w:rPr>
              <w:t>o</w:t>
            </w:r>
          </w:p>
        </w:tc>
        <w:tc>
          <w:tcPr>
            <w:tcW w:w="3500" w:type="dxa"/>
            <w:vAlign w:val="bottom"/>
          </w:tcPr>
          <w:p>
            <w:pPr>
              <w:spacing w:after="0"/>
              <w:rPr>
                <w:sz w:val="17"/>
                <w:szCs w:val="17"/>
                <w:color w:val="auto"/>
              </w:rPr>
            </w:pPr>
          </w:p>
        </w:tc>
        <w:tc>
          <w:tcPr>
            <w:tcW w:w="262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440" w:type="dxa"/>
            <w:vAlign w:val="bottom"/>
          </w:tcPr>
          <w:p>
            <w:pPr>
              <w:ind w:left="260"/>
              <w:spacing w:after="0"/>
              <w:rPr>
                <w:sz w:val="20"/>
                <w:szCs w:val="20"/>
                <w:color w:val="auto"/>
              </w:rPr>
            </w:pPr>
            <w:r>
              <w:rPr>
                <w:rFonts w:ascii="Arial" w:cs="Arial" w:eastAsia="Arial" w:hAnsi="Arial"/>
                <w:sz w:val="16"/>
                <w:szCs w:val="16"/>
                <w:color w:val="auto"/>
              </w:rPr>
              <w:t>x</w:t>
            </w:r>
          </w:p>
        </w:tc>
        <w:tc>
          <w:tcPr>
            <w:tcW w:w="3500" w:type="dxa"/>
            <w:vAlign w:val="bottom"/>
          </w:tcPr>
          <w:p>
            <w:pPr>
              <w:ind w:left="80"/>
              <w:spacing w:after="0"/>
              <w:rPr>
                <w:sz w:val="20"/>
                <w:szCs w:val="20"/>
                <w:color w:val="auto"/>
              </w:rPr>
            </w:pPr>
            <w:r>
              <w:rPr>
                <w:rFonts w:ascii="Arial" w:cs="Arial" w:eastAsia="Arial" w:hAnsi="Arial"/>
                <w:sz w:val="16"/>
                <w:szCs w:val="16"/>
                <w:color w:val="auto"/>
              </w:rPr>
              <w:t>(Do not check if a smaller reporting company)</w:t>
            </w:r>
          </w:p>
        </w:tc>
        <w:tc>
          <w:tcPr>
            <w:tcW w:w="262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620" w:type="dxa"/>
            <w:vAlign w:val="bottom"/>
          </w:tcPr>
          <w:p>
            <w:pPr>
              <w:ind w:left="40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bl>
    <w:p>
      <w:pPr>
        <w:spacing w:after="0" w:line="50" w:lineRule="exact"/>
        <w:rPr>
          <w:sz w:val="24"/>
          <w:szCs w:val="24"/>
          <w:color w:val="auto"/>
        </w:rPr>
      </w:pPr>
    </w:p>
    <w:p>
      <w:pPr>
        <w:ind w:left="1240" w:right="1860"/>
        <w:spacing w:after="0" w:line="3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9" w:lineRule="exact"/>
        <w:rPr>
          <w:sz w:val="24"/>
          <w:szCs w:val="24"/>
          <w:color w:val="auto"/>
        </w:rPr>
      </w:pPr>
    </w:p>
    <w:p>
      <w:pPr>
        <w:ind w:left="340"/>
        <w:spacing w:after="0"/>
        <w:tabs>
          <w:tab w:leader="none" w:pos="7840" w:val="left"/>
          <w:tab w:leader="none" w:pos="84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As of September 30, 2017, the only member of the registrant is a wholly-owned indirect subsidiary of Crown Castle International Corp.</w:t>
      </w:r>
    </w:p>
    <w:p>
      <w:pPr>
        <w:spacing w:after="0" w:line="167" w:lineRule="exact"/>
        <w:rPr>
          <w:sz w:val="24"/>
          <w:szCs w:val="24"/>
          <w:color w:val="auto"/>
        </w:rPr>
      </w:pPr>
    </w:p>
    <w:p>
      <w:pPr>
        <w:ind w:left="3140" w:right="160" w:hanging="2634"/>
        <w:spacing w:after="0" w:line="275" w:lineRule="auto"/>
        <w:rPr>
          <w:sz w:val="20"/>
          <w:szCs w:val="20"/>
          <w:color w:val="auto"/>
        </w:rPr>
      </w:pPr>
      <w:r>
        <w:rPr>
          <w:rFonts w:ascii="Arial" w:cs="Arial" w:eastAsia="Arial" w:hAnsi="Arial"/>
          <w:sz w:val="16"/>
          <w:szCs w:val="16"/>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 any variation of these words, and similar expressions are intended to identify forward-looking statements. Such statements include plans, projections and estimates contained in </w:t>
      </w:r>
      <w:r>
        <w:rPr>
          <w:rFonts w:ascii="Arial" w:cs="Arial" w:eastAsia="Arial" w:hAnsi="Arial"/>
          <w:sz w:val="17"/>
          <w:szCs w:val="17"/>
          <w:i w:val="1"/>
          <w:iCs w:val="1"/>
          <w:color w:val="auto"/>
        </w:rPr>
        <w:t>"Part I—Item 2. Management's Discussion and Analysis of Financial Condition and Results of Operations"</w:t>
      </w:r>
      <w:r>
        <w:rPr>
          <w:rFonts w:ascii="Arial" w:cs="Arial" w:eastAsia="Arial" w:hAnsi="Arial"/>
          <w:sz w:val="17"/>
          <w:szCs w:val="17"/>
          <w:color w:val="auto"/>
        </w:rPr>
        <w:t xml:space="preserve"> ("MD&amp;A") herein. Such forward-looking statements include (1) expectations regarding anticipated growth in the wireless industry, carriers' investments in their networks, tenant additions, customer consolidation or ownership changes, or demand for our sites, (2) expectations regarding non-renewals of tenant leases (including the impact of our customers' decommissioning of the former Leap Wireless, MetroPCS and Clearwire networks (collectively, the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margins, and operating cash flows, (6) expectations regarding our capital structure and the credit markets, our availability and cost of capital, or our ability to service our debt and comply with debt covenants, (7) expectations for sustaining capital expenditures, and (8) expectations related to CCIC's ability to remain qualified as a real estate investment trust ("REIT") and the advantages, benefits or impact of, or opportunities created by the inclusion of our assets and operations in CCIC's REIT.</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2016 ("2016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260" w:type="dxa"/>
            <w:vAlign w:val="bottom"/>
          </w:tcPr>
          <w:p>
            <w:pPr>
              <w:spacing w:after="0"/>
              <w:rPr>
                <w:sz w:val="24"/>
                <w:szCs w:val="24"/>
                <w:color w:val="auto"/>
              </w:rPr>
            </w:pPr>
          </w:p>
        </w:tc>
        <w:tc>
          <w:tcPr>
            <w:tcW w:w="7660" w:type="dxa"/>
            <w:vAlign w:val="bottom"/>
          </w:tcPr>
          <w:p>
            <w:pPr>
              <w:jc w:val="center"/>
              <w:ind w:left="1153"/>
              <w:spacing w:after="0"/>
              <w:rPr>
                <w:sz w:val="20"/>
                <w:szCs w:val="20"/>
                <w:color w:val="auto"/>
              </w:rPr>
            </w:pPr>
            <w:r>
              <w:rPr>
                <w:rFonts w:ascii="Arial" w:cs="Arial" w:eastAsia="Arial" w:hAnsi="Arial"/>
                <w:sz w:val="18"/>
                <w:szCs w:val="18"/>
                <w:b w:val="1"/>
                <w:bCs w:val="1"/>
                <w:color w:val="auto"/>
                <w:w w:val="99"/>
              </w:rPr>
              <w:t>CC HOLDINGS GS V LLC</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60" w:type="dxa"/>
            <w:vAlign w:val="bottom"/>
          </w:tcPr>
          <w:p>
            <w:pPr>
              <w:jc w:val="center"/>
              <w:ind w:left="117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660" w:type="dxa"/>
            <w:vAlign w:val="bottom"/>
          </w:tcPr>
          <w:p>
            <w:pPr>
              <w:jc w:val="center"/>
              <w:ind w:left="1173"/>
              <w:spacing w:after="0"/>
              <w:rPr>
                <w:sz w:val="20"/>
                <w:szCs w:val="20"/>
                <w:color w:val="auto"/>
              </w:rPr>
            </w:pPr>
            <w:r>
              <w:rPr>
                <w:rFonts w:ascii="Arial" w:cs="Arial" w:eastAsia="Arial" w:hAnsi="Arial"/>
                <w:sz w:val="18"/>
                <w:szCs w:val="18"/>
                <w:b w:val="1"/>
                <w:bCs w:val="1"/>
                <w:color w:val="auto"/>
                <w:w w:val="89"/>
              </w:rPr>
              <w:t>(In thousands of dollars)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2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24"/>
                <w:szCs w:val="2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7660" w:type="dxa"/>
            <w:vAlign w:val="bottom"/>
            <w:tcBorders>
              <w:top w:val="single" w:sz="8" w:color="CCEEFF"/>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w w:val="93"/>
              </w:rPr>
              <w:t>ASSETS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19,550</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24,051</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20,313</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67,441</w:t>
            </w:r>
          </w:p>
        </w:tc>
        <w:tc>
          <w:tcPr>
            <w:tcW w:w="0" w:type="dxa"/>
            <w:vAlign w:val="bottom"/>
          </w:tcPr>
          <w:p>
            <w:pPr>
              <w:spacing w:after="0"/>
              <w:rPr>
                <w:sz w:val="1"/>
                <w:szCs w:val="1"/>
                <w:color w:val="auto"/>
              </w:rPr>
            </w:pPr>
          </w:p>
        </w:tc>
      </w:tr>
      <w:tr>
        <w:trPr>
          <w:trHeight w:val="237"/>
        </w:trPr>
        <w:tc>
          <w:tcPr>
            <w:tcW w:w="8920" w:type="dxa"/>
            <w:vAlign w:val="bottom"/>
            <w:gridSpan w:val="2"/>
          </w:tcPr>
          <w:p>
            <w:pPr>
              <w:spacing w:after="0"/>
              <w:rPr>
                <w:sz w:val="20"/>
                <w:szCs w:val="20"/>
                <w:color w:val="auto"/>
              </w:rPr>
            </w:pPr>
            <w:r>
              <w:rPr>
                <w:rFonts w:ascii="Arial" w:cs="Arial" w:eastAsia="Arial" w:hAnsi="Arial"/>
                <w:sz w:val="16"/>
                <w:szCs w:val="16"/>
                <w:color w:val="auto"/>
              </w:rPr>
              <w:t>Deferred site rental receivables</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330,631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346,507</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$896,689 and $828,670,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1,061,711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1,088,883</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Goodwill</w:t>
            </w:r>
          </w:p>
        </w:tc>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1,338,730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1,338,730</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951,352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1,038,007</w:t>
            </w:r>
          </w:p>
        </w:tc>
        <w:tc>
          <w:tcPr>
            <w:tcW w:w="0" w:type="dxa"/>
            <w:vAlign w:val="bottom"/>
          </w:tcPr>
          <w:p>
            <w:pPr>
              <w:spacing w:after="0"/>
              <w:rPr>
                <w:sz w:val="1"/>
                <w:szCs w:val="1"/>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35,490</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3,802,315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3,915,058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7"/>
              </w:rPr>
              <w:t>Current liabilities:</w:t>
            </w:r>
          </w:p>
        </w:tc>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and payables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13,243</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8,126</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11,930</w:t>
            </w:r>
          </w:p>
        </w:tc>
        <w:tc>
          <w:tcPr>
            <w:tcW w:w="0" w:type="dxa"/>
            <w:vAlign w:val="bottom"/>
          </w:tcPr>
          <w:p>
            <w:pPr>
              <w:spacing w:after="0"/>
              <w:rPr>
                <w:sz w:val="1"/>
                <w:szCs w:val="1"/>
                <w:color w:val="auto"/>
              </w:rPr>
            </w:pPr>
          </w:p>
        </w:tc>
      </w:tr>
      <w:tr>
        <w:trPr>
          <w:trHeight w:val="217"/>
        </w:trPr>
        <w:tc>
          <w:tcPr>
            <w:tcW w:w="8920" w:type="dxa"/>
            <w:vAlign w:val="bottom"/>
            <w:gridSpan w:val="2"/>
          </w:tcPr>
          <w:p>
            <w:pPr>
              <w:ind w:left="60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33,299</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7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991,279</w:t>
            </w:r>
          </w:p>
        </w:tc>
        <w:tc>
          <w:tcPr>
            <w:tcW w:w="0" w:type="dxa"/>
            <w:vAlign w:val="bottom"/>
          </w:tcPr>
          <w:p>
            <w:pPr>
              <w:spacing w:after="0"/>
              <w:rPr>
                <w:sz w:val="1"/>
                <w:szCs w:val="1"/>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Deferred ground lease payable</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106,677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102,519</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48,716</w:t>
            </w:r>
          </w:p>
        </w:tc>
        <w:tc>
          <w:tcPr>
            <w:tcW w:w="0" w:type="dxa"/>
            <w:vAlign w:val="bottom"/>
          </w:tcPr>
          <w:p>
            <w:pPr>
              <w:spacing w:after="0"/>
              <w:rPr>
                <w:sz w:val="1"/>
                <w:szCs w:val="1"/>
                <w:color w:val="auto"/>
              </w:rPr>
            </w:pPr>
          </w:p>
        </w:tc>
      </w:tr>
      <w:tr>
        <w:trPr>
          <w:trHeight w:val="217"/>
        </w:trPr>
        <w:tc>
          <w:tcPr>
            <w:tcW w:w="8920" w:type="dxa"/>
            <w:vAlign w:val="bottom"/>
            <w:gridSpan w:val="2"/>
          </w:tcPr>
          <w:p>
            <w:pPr>
              <w:ind w:left="60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1,190,658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1,175,813</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8"/>
              </w:rPr>
              <w:t>Member's equity:</w:t>
            </w:r>
          </w:p>
        </w:tc>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2,611,657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Accumulated earnings (deficit)</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2,611,657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44"/>
        </w:trPr>
        <w:tc>
          <w:tcPr>
            <w:tcW w:w="8920" w:type="dxa"/>
            <w:vAlign w:val="bottom"/>
            <w:gridSpan w:val="2"/>
          </w:tcPr>
          <w:p>
            <w:pPr>
              <w:ind w:left="60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3,802,315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3,915,058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153,732</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152,523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460,028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458,781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4"/>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37,504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38,670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113,185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112,575</w:t>
            </w:r>
          </w:p>
        </w:tc>
      </w:tr>
      <w:tr>
        <w:trPr>
          <w:trHeight w:val="270"/>
        </w:trPr>
        <w:tc>
          <w:tcPr>
            <w:tcW w:w="562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9,234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8,569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27,275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25,238</w:t>
            </w:r>
          </w:p>
        </w:tc>
      </w:tr>
      <w:tr>
        <w:trPr>
          <w:trHeight w:val="25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46,738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140,460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137,813</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11,779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35,069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33,936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3,724</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52,714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52,624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157,886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157,098</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332,571</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42,501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40,285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126,613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126,210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(39,546)</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Gains (losses) on retirement of long-term obligations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(10,273)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31,812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96,836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76,306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31,724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16,920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96,572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76,053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96,572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76,053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157,886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157,098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2,081</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3,724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Gains (losses) on retirement of long-term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10,273</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accrued interest</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9,093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3,788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w w:val="95"/>
              </w:rPr>
              <w:t>Decrease (increase) in other current assets, deferred site rental receivable, long-term prepaid rent, and other assets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5,969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(8,951)</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253,175</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(39,317)</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(46,001)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(39,317)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Purchases and redemptions of debt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(508,472)</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contribution related to debt repayment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508,472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(194,678)</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(194,678)</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19,180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20,401</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24,519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39,581</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2,660,691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2,660,691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(31,724)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(80,758)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31,724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31,724</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2,611,657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2,611,657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6,033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2,333,971</w:t>
            </w:r>
          </w:p>
        </w:tc>
        <w:tc>
          <w:tcPr>
            <w:tcW w:w="0" w:type="dxa"/>
            <w:vAlign w:val="bottom"/>
          </w:tcPr>
          <w:p>
            <w:pPr>
              <w:spacing w:after="0"/>
              <w:rPr>
                <w:sz w:val="1"/>
                <w:szCs w:val="1"/>
                <w:color w:val="auto"/>
              </w:rPr>
            </w:pPr>
          </w:p>
        </w:tc>
      </w:tr>
      <w:tr>
        <w:trPr>
          <w:trHeight w:val="224"/>
        </w:trPr>
        <w:tc>
          <w:tcPr>
            <w:tcW w:w="6860" w:type="dxa"/>
            <w:vAlign w:val="bottom"/>
          </w:tcPr>
          <w:p>
            <w:pPr>
              <w:ind w:left="280"/>
              <w:spacing w:after="0"/>
              <w:rPr>
                <w:sz w:val="20"/>
                <w:szCs w:val="20"/>
                <w:color w:val="auto"/>
              </w:rPr>
            </w:pPr>
            <w:r>
              <w:rPr>
                <w:rFonts w:ascii="Arial" w:cs="Arial" w:eastAsia="Arial" w:hAnsi="Arial"/>
                <w:sz w:val="16"/>
                <w:szCs w:val="16"/>
                <w:color w:val="auto"/>
              </w:rPr>
              <w:t>Equity contribution related to debt repayment (note 4)</w:t>
            </w:r>
          </w:p>
        </w:tc>
        <w:tc>
          <w:tcPr>
            <w:tcW w:w="140" w:type="dxa"/>
            <w:vAlign w:val="bottom"/>
          </w:tcPr>
          <w:p>
            <w:pPr>
              <w:spacing w:after="0"/>
              <w:rPr>
                <w:sz w:val="19"/>
                <w:szCs w:val="19"/>
                <w:color w:val="auto"/>
              </w:rPr>
            </w:pPr>
          </w:p>
        </w:tc>
        <w:tc>
          <w:tcPr>
            <w:tcW w:w="1260" w:type="dxa"/>
            <w:vAlign w:val="bottom"/>
            <w:vMerge w:val="restart"/>
          </w:tcPr>
          <w:p>
            <w:pPr>
              <w:jc w:val="right"/>
              <w:ind w:right="41"/>
              <w:spacing w:after="0"/>
              <w:rPr>
                <w:sz w:val="20"/>
                <w:szCs w:val="20"/>
                <w:color w:val="auto"/>
              </w:rPr>
            </w:pPr>
            <w:r>
              <w:rPr>
                <w:rFonts w:ascii="Arial" w:cs="Arial" w:eastAsia="Arial" w:hAnsi="Arial"/>
                <w:sz w:val="16"/>
                <w:szCs w:val="16"/>
                <w:color w:val="auto"/>
              </w:rPr>
              <w:t>508,472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vMerge w:val="restart"/>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(65,168)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16,920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16,920</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2,794,195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2,794,195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2,739,245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(127,588)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(96,572)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(224,160)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96,572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96,572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at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2,611,657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2,611,657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224"/>
        </w:trPr>
        <w:tc>
          <w:tcPr>
            <w:tcW w:w="6860" w:type="dxa"/>
            <w:vAlign w:val="bottom"/>
          </w:tcPr>
          <w:p>
            <w:pPr>
              <w:ind w:left="280"/>
              <w:spacing w:after="0"/>
              <w:rPr>
                <w:sz w:val="20"/>
                <w:szCs w:val="20"/>
                <w:color w:val="auto"/>
              </w:rPr>
            </w:pPr>
            <w:r>
              <w:rPr>
                <w:rFonts w:ascii="Arial" w:cs="Arial" w:eastAsia="Arial" w:hAnsi="Arial"/>
                <w:sz w:val="16"/>
                <w:szCs w:val="16"/>
                <w:color w:val="auto"/>
              </w:rPr>
              <w:t>Equity contribution related to debt repayment (note 4)</w:t>
            </w:r>
          </w:p>
        </w:tc>
        <w:tc>
          <w:tcPr>
            <w:tcW w:w="140" w:type="dxa"/>
            <w:vAlign w:val="bottom"/>
          </w:tcPr>
          <w:p>
            <w:pPr>
              <w:spacing w:after="0"/>
              <w:rPr>
                <w:sz w:val="19"/>
                <w:szCs w:val="19"/>
                <w:color w:val="auto"/>
              </w:rPr>
            </w:pPr>
          </w:p>
        </w:tc>
        <w:tc>
          <w:tcPr>
            <w:tcW w:w="1260" w:type="dxa"/>
            <w:vAlign w:val="bottom"/>
            <w:vMerge w:val="restart"/>
          </w:tcPr>
          <w:p>
            <w:pPr>
              <w:jc w:val="right"/>
              <w:ind w:right="41"/>
              <w:spacing w:after="0"/>
              <w:rPr>
                <w:sz w:val="20"/>
                <w:szCs w:val="20"/>
                <w:color w:val="auto"/>
              </w:rPr>
            </w:pPr>
            <w:r>
              <w:rPr>
                <w:rFonts w:ascii="Arial" w:cs="Arial" w:eastAsia="Arial" w:hAnsi="Arial"/>
                <w:sz w:val="16"/>
                <w:szCs w:val="16"/>
                <w:color w:val="auto"/>
              </w:rPr>
              <w:t>508,472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vMerge w:val="restart"/>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(152,463)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(194,678)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76,053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76,053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2,794,195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2,794,195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2016, and related notes thereto, included in the 2016 Form 10-K filed by the Company with the SEC.</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organized specifically to own, lease and manage sites that are geographically dispersed across the United States ("U.S."). The Company's core business is providing access, including space or capacity, to its sites via long-term contracts in various forms, including licenses, subleases and lease agreements. Management services related to the Company's sites are performed by Crown Castle USA Inc. ("CCUSA"), an affiliate of the Company, under the Management Agreement, as the Company has no employees.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fairly state the consolidated financial position of the Company as of September 30, 2017, and the consolidated results of operations and the consolidated cash flows for the nine months ended September 30, 2017 and 2016.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entire year.</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significant accounting policies used in the preparation of the Company's condensed consolidated financial statements are disclosed in the 2016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No new accounting pronouncements adopted during the nine months ended September 30, 2017 had a material impact on the Company's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however, the Company does not expect to early adopt the new guidance. CCIC (1) has established and is progressing through the various steps of a cross functional project plan to assess the impact of the standard; (2) expects this guidance to have a material impact on its condensed consolidated balance sheet due to the addition of right-of-use assets and lease liabilities for all lessee arrangements with a term greater than 12 months; and (3) continues to assess additional impacts to its condensed consolidated financial statements, including the condensed consolidated statement of operations and the condensed consolidated statement of cash flows.</w:t>
      </w:r>
    </w:p>
    <w:p>
      <w:pPr>
        <w:spacing w:after="0" w:line="340"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outstanding balance of the 2012 Secured Notes as of both September 30, 2017 and December 31, 2016 was $992 million, comprised of 3.849% secured notes ("3.849% Secured Notes") due April 2023. The 2012 Secured Notes originally consisted of (1) the previously outstanding $500 million aggregate principal amount of 2.381% secured notes ("2.381% Secured Notes") due December 2017 and (2) $1.0 billion aggregate principal amount of 3.849% Secured Notes due April 2023. In September 2016, CCIC issued $700 million aggregate principal amount of 2.25% senior secured notes ("September 2016 Senior Notes"). CCIC used a portion of the net proceeds from the September 2016 Senior Notes offering to repay in full the previously outstanding 2.381% Secured Notes. The Company recorded an equity contribution related to the repayment of the 2.381% Secured Notes for the nine months ended September 30, 2016 (see note 4).</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37,465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2,081</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12,934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39,546</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sites.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an affiliate acquiring rights to such land. As of September 30, 2017, there was approximately 28% of the Company's sites where the land under the tower is controlled by an affiliate. Also, the Company receives rent revenue from affiliates for land controlled by the Company that affiliates have towers 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For the nine months ended September 30, 2017, the Company recorded an equity distribution of $224.2 million reflecting distributions to its member and ultimately other subsidiaries of CCIC. For the nine months ended September 30, 2016, the Company recorded a net equity contribution of $313.8 million, which was inclusive of (1) an equity contribution from CCIC of $508.5 million related to the repayment of the previously outstanding 2.381% Secured Notes (see note 3) and (2) an equity distribution of $194.7 million, reflecting distributions to its member and ultimately other subsidiaries of CCIC. Cash on hand above the amount that is required by the Management Agreement has been, and is expected to continue to be, distributed to the Company's parent company. As of September 30, 2017 and 2016, the Company had no material related party assets or liabilities on its condensed consolidated balance sheet.</w:t>
      </w:r>
    </w:p>
    <w:p>
      <w:pPr>
        <w:spacing w:after="0" w:line="32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part of the CCIC REIT.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nine months ended September 30, 2017 and 2016, the Company's effective tax rate differed from the federal statutory rate predominately due to (1) CCIC's dividends paid deduction, and (2) state taxes.</w:t>
      </w:r>
    </w:p>
    <w:p>
      <w:pPr>
        <w:spacing w:after="0" w:line="32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There were no changes since December 31, 2016 in the Company's valuation techniques used to measure fair values. The estimated fair values of the Company's financial instruments, along with the carrying amounts of the related assets and liabilities, are as follows: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24,519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24,519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19,550</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992,317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1,050,230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991,279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1,013,300</w:t>
            </w:r>
          </w:p>
        </w:tc>
      </w:tr>
    </w:tbl>
    <w:p>
      <w:pPr>
        <w:spacing w:after="0" w:line="39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1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396"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060"/>
        <w:spacing w:after="0"/>
        <w:tabs>
          <w:tab w:leader="none" w:pos="10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280"/>
        <w:spacing w:after="0"/>
        <w:tabs>
          <w:tab w:leader="none" w:pos="8580" w:val="left"/>
          <w:tab w:leader="none" w:pos="9380" w:val="left"/>
          <w:tab w:leader="none" w:pos="10080" w:val="left"/>
          <w:tab w:leader="none" w:pos="10840" w:val="left"/>
        </w:tabs>
        <w:rPr>
          <w:sz w:val="20"/>
          <w:szCs w:val="20"/>
          <w:color w:val="auto"/>
        </w:rPr>
      </w:pPr>
      <w:r>
        <w:rPr>
          <w:rFonts w:ascii="Arial" w:cs="Arial" w:eastAsia="Arial" w:hAnsi="Arial"/>
          <w:sz w:val="16"/>
          <w:szCs w:val="16"/>
          <w:color w:val="auto"/>
        </w:rPr>
        <w:t>Interest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19,246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28,372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CCL has no independent assets or operations. The 2012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("MD&amp;A") included in our 2016 Form 10-K. Capitalized terms used but not defined in this Form 10-Q have the same meaning given to them in our 2016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has been contracted for in a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nine months ended September 30, 2017.</w:t>
      </w:r>
    </w:p>
    <w:p>
      <w:pPr>
        <w:spacing w:after="0" w:line="23"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growth resulting from wireless network expansion and new entrants caused by increasing demand for data and connectivity</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wireless infrastructure.</w:t>
      </w:r>
    </w:p>
    <w:p>
      <w:pPr>
        <w:jc w:val="both"/>
        <w:ind w:left="1220" w:hanging="402"/>
        <w:spacing w:after="0" w:line="265" w:lineRule="auto"/>
        <w:tabs>
          <w:tab w:leader="none" w:pos="1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expect existing and potential new customer demand for our towers will result from (1) new technologies, (2) increased usage of wireless applications (including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or (6) the availability of additional spectrum.</w:t>
      </w: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U.S. wireless carriers continue to invest in their networks.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CCIC operates as a REIT for U.S. federal income tax purposes. For U.S. federal income tax purposes, our assets and operations are part of the CCIC REIT.</w:t>
      </w: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wireless infrastructure, such as towers or other structures, and have no employees.</w:t>
      </w:r>
    </w:p>
    <w:p>
      <w:pPr>
        <w:ind w:left="1220" w:hanging="402"/>
        <w:spacing w:after="0" w:line="281"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Site rental revenues under long-term tenant leases with contractual escalations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Initial terms of five to 15 years with multiple renewal periods at the option of the tenant of five to ten years each.</w:t>
      </w:r>
    </w:p>
    <w:p>
      <w:pPr>
        <w:spacing w:after="0" w:line="9" w:lineRule="exact"/>
        <w:rPr>
          <w:rFonts w:ascii="Arial" w:cs="Arial" w:eastAsia="Arial" w:hAnsi="Arial"/>
          <w:sz w:val="18"/>
          <w:szCs w:val="18"/>
          <w:color w:val="auto"/>
        </w:rPr>
      </w:pPr>
    </w:p>
    <w:p>
      <w:pPr>
        <w:jc w:val="both"/>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lease by the related site rental revenue) of approximately five years, exclusive of renewals at the tenants' option, currently representing approximately $3.6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88%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Majority of land interests under our wireless infrastructure are under long-term control</w:t>
      </w:r>
    </w:p>
    <w:p>
      <w:pPr>
        <w:spacing w:after="0" w:line="9" w:lineRule="exact"/>
        <w:rPr>
          <w:rFonts w:ascii="Arial" w:cs="Arial" w:eastAsia="Arial" w:hAnsi="Arial"/>
          <w:sz w:val="18"/>
          <w:szCs w:val="18"/>
          <w:color w:val="auto"/>
        </w:rPr>
      </w:pPr>
    </w:p>
    <w:p>
      <w:pPr>
        <w:ind w:left="1220" w:hanging="402"/>
        <w:spacing w:after="0" w:line="265" w:lineRule="auto"/>
        <w:tabs>
          <w:tab w:leader="none" w:pos="1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More than 80% and more than 50% of our sites are under our control for greater than 10 and 20 years, respectively. The aforementioned amounts include sites that reside on land interests that are owned, including fee interests and perpetual easements.</w:t>
      </w:r>
    </w:p>
    <w:p>
      <w:pPr>
        <w:jc w:val="both"/>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19%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$275.1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3"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2017 and 2018.</w:t>
      </w:r>
    </w:p>
    <w:p>
      <w:pPr>
        <w:spacing w:after="0" w:line="9" w:lineRule="exact"/>
        <w:rPr>
          <w:rFonts w:ascii="Arial" w:cs="Arial" w:eastAsia="Arial" w:hAnsi="Arial"/>
          <w:sz w:val="18"/>
          <w:szCs w:val="18"/>
          <w:color w:val="auto"/>
        </w:rPr>
      </w:pPr>
    </w:p>
    <w:p>
      <w:pPr>
        <w:ind w:left="1220" w:hanging="807"/>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2017 and 2018, we also expect that the impact from tenant leasing will be offset by non-renewals of tenant leases, primarily from our customers' decommissioning of the Acquired Networks, at least in part.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2016 Form 10-K. 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herein and note 2 to our 2016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9"/>
              </w:rPr>
              <w:t>September 30, 2016</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40" w:type="dxa"/>
            <w:vAlign w:val="bottom"/>
            <w:gridSpan w:val="4"/>
            <w:shd w:val="clear" w:color="auto" w:fill="CCEEFF"/>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Site rental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153,732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152,523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46,738</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11,779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11,425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34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52,714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52,624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111,231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112,238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42,501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40,285</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Gains (losses) on retirement of long-term obligations</w:t>
            </w: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(10,273)</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31,812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17,004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31,724</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16,920</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4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620" w:type="dxa"/>
            <w:vAlign w:val="bottom"/>
          </w:tcPr>
          <w:p>
            <w:pPr>
              <w:jc w:val="right"/>
              <w:ind w:right="220"/>
              <w:spacing w:after="0"/>
              <w:rPr>
                <w:sz w:val="20"/>
                <w:szCs w:val="20"/>
                <w:color w:val="auto"/>
              </w:rPr>
            </w:pPr>
            <w:r>
              <w:rPr>
                <w:rFonts w:ascii="Arial" w:cs="Arial" w:eastAsia="Arial" w:hAnsi="Arial"/>
                <w:sz w:val="14"/>
                <w:szCs w:val="14"/>
                <w:b w:val="1"/>
                <w:bCs w:val="1"/>
                <w:color w:val="auto"/>
                <w:w w:val="99"/>
              </w:rPr>
              <w:t>Nine Months Ended</w:t>
            </w:r>
          </w:p>
        </w:tc>
        <w:tc>
          <w:tcPr>
            <w:tcW w:w="220" w:type="dxa"/>
            <w:vAlign w:val="bottom"/>
          </w:tcPr>
          <w:p>
            <w:pPr>
              <w:spacing w:after="0"/>
              <w:rPr>
                <w:sz w:val="14"/>
                <w:szCs w:val="14"/>
                <w:color w:val="auto"/>
              </w:rPr>
            </w:pPr>
          </w:p>
        </w:tc>
        <w:tc>
          <w:tcPr>
            <w:tcW w:w="1120" w:type="dxa"/>
            <w:vAlign w:val="bottom"/>
          </w:tcPr>
          <w:p>
            <w:pPr>
              <w:jc w:val="right"/>
              <w:ind w:right="26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9"/>
              </w:rPr>
              <w:t>September 30, 2016</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40" w:type="dxa"/>
            <w:vAlign w:val="bottom"/>
            <w:gridSpan w:val="4"/>
            <w:shd w:val="clear" w:color="auto" w:fill="CCEEFF"/>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Site rental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460,028</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458,781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20" w:type="dxa"/>
            <w:vAlign w:val="bottom"/>
            <w:gridSpan w:val="2"/>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140,460</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137,813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200" w:type="dxa"/>
            <w:vAlign w:val="bottom"/>
          </w:tcPr>
          <w:p>
            <w:pPr>
              <w:spacing w:after="0"/>
              <w:rPr>
                <w:sz w:val="23"/>
                <w:szCs w:val="23"/>
                <w:color w:val="auto"/>
              </w:rPr>
            </w:pP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35,069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33,936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Asset write-down charges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3,724</w:t>
            </w:r>
          </w:p>
        </w:tc>
        <w:tc>
          <w:tcPr>
            <w:tcW w:w="134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157,886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157,098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0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333,415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332,571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126,613</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126,210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(29,906)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Gains (losses) on retirement of long-term obligations</w:t>
            </w: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(10,273)</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96,836</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76,306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2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96,572</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76,053</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602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Third Quarter 2017 and 2016</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three months ended September 30, 2017 increased by $1.2 million, or 1%, from the same period in the prior year. This increase in site rental revenues was impacted by the following items, inclusive of straight-line accounting, in no particular order: tenant additions across our entire portfolio, renewals or extensions of tenant leases, escalations and non-renewals of tenant leases.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the 2016 Form 10-K for further discussion regarding our customers' decommissioning of the Acquired Networks.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income for the three months ended September 30, 2017 increased by $2.2 million, or 6%, from the same period in the prior year. The increase in operating income was predominately due to the aforementioned increase in site rental revenues and a decrease in asset write-down charges and cost of operations, partially offset by an increase in the management fee and depreciation, amortization and accretion from the three months ended September 30, 2016.</w:t>
      </w:r>
    </w:p>
    <w:p>
      <w:pPr>
        <w:spacing w:after="0" w:line="13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September 2016, CCIC issued $700 million aggregate principal amount of September 2016 Senior Notes and used a portion of the proceeds to repay all of the previously outstanding 2.381% Secured Notes, which resulted in a loss on retirement of long-term obligations of $10.3 million.</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and amortization of deferred financing costs for the three months ended September 30, 2017 decreased $3.0 million, or 23%, from the same period in the prior year. This decrease was related to the aforementioned repayment of the previously outstanding 2.381% Secured Notes in September 2016.</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for the three months ended September 30, 2017 was $31.7 million, compared to net income of $16.9 million for the three months ended September 30, 2016. The increase was due primarily to the aforementioned loss on retirement of long-term obligations recorded for the repayment of the previously outstanding 2.381% Secured Notes in September 2016 and a corresponding decrease in interest expense and amortization of deferred financing costs.</w:t>
      </w:r>
    </w:p>
    <w:p>
      <w:pPr>
        <w:spacing w:after="0" w:line="34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Nine Months 2017 and 2016</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the nine months ended September 30, 2017 remained consistent with the same period in the prior year. Site rental revenues were impacted by the following items, inclusive of straight-line accounting, in no particular order: new tenant additions across our entire portfolio, renewals or extensions of tenant leases, escalations and non-renewal of tenant leases.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herein.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0" w:right="2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Operating income for the nine months ended September 30, 2017 remained consistent with the same period in the prior year.</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September 2016, CCIC issued $700 million aggregate principal amount of September 2016 Senior Notes and used a portion of the proceeds to repay all of the previously outstanding 2.381% Secured Notes which resulted in a loss on retirement of long-term obligations of $10.3 million.</w:t>
      </w:r>
    </w:p>
    <w:p>
      <w:pPr>
        <w:spacing w:after="0" w:line="7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Interest expense and amortization of deferred financing costs for the nine months ended September 30, 2017 decreased $9.6 million, or 24%, from the same period in the prior year. This decrease was related to the aforementioned repayment of the previously outstanding 2.381% Secured Notes in September 2016.</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for the nine months ended September 30, 2017 was $96.6 million compared to net income of $76.1 million for the nine months ended September 30, 2016. The increase was due primarily to the aforementioned loss on retirement of long-term obligations recorded for the repayment of the previously outstanding 2.381% Secured Notes in September 2016 and a corresponding decrease in interest expense and amortization of deferred financing costs.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leases (See</w:t>
      </w:r>
      <w:r>
        <w:rPr>
          <w:rFonts w:ascii="Arial" w:cs="Arial" w:eastAsia="Arial" w:hAnsi="Arial"/>
          <w:sz w:val="16"/>
          <w:szCs w:val="16"/>
          <w:i w:val="1"/>
          <w:iCs w:val="1"/>
          <w:color w:val="auto"/>
        </w:rPr>
        <w:t xml:space="preserve"> "Item 2. MD&amp;A—General Overview")</w:t>
      </w:r>
      <w:r>
        <w:rPr>
          <w:rFonts w:ascii="Arial" w:cs="Arial" w:eastAsia="Arial" w:hAnsi="Arial"/>
          <w:sz w:val="16"/>
          <w:szCs w:val="16"/>
          <w:color w:val="auto"/>
        </w:rPr>
        <w:t>, predominantly from the largest U.S.</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 our capital expenditures. We seek to allocate the net cash generated from our business in a manner that we believe drives value for our member and ultimately CCIC.</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and ultimately other subsidiaries of CCIC.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part of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September 30, 2017:</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9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3"/>
              <w:spacing w:after="0"/>
              <w:rPr>
                <w:sz w:val="20"/>
                <w:szCs w:val="20"/>
                <w:color w:val="auto"/>
              </w:rPr>
            </w:pPr>
            <w:r>
              <w:rPr>
                <w:rFonts w:ascii="Arial" w:cs="Arial" w:eastAsia="Arial" w:hAnsi="Arial"/>
                <w:sz w:val="14"/>
                <w:szCs w:val="14"/>
                <w:b w:val="1"/>
                <w:bCs w:val="1"/>
                <w:color w:val="auto"/>
                <w:w w:val="99"/>
              </w:rPr>
              <w:t>(In thousands of dollars)</w:t>
            </w:r>
          </w:p>
        </w:tc>
      </w:tr>
      <w:tr>
        <w:trPr>
          <w:trHeight w:val="243"/>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24,519</w:t>
            </w:r>
          </w:p>
        </w:tc>
      </w:tr>
      <w:tr>
        <w:trPr>
          <w:trHeight w:val="224"/>
        </w:trPr>
        <w:tc>
          <w:tcPr>
            <w:tcW w:w="9120" w:type="dxa"/>
            <w:vAlign w:val="bottom"/>
          </w:tcPr>
          <w:p>
            <w:pPr>
              <w:ind w:left="2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Arial" w:cs="Arial" w:eastAsia="Arial" w:hAnsi="Arial"/>
                <w:sz w:val="16"/>
                <w:szCs w:val="16"/>
                <w:color w:val="auto"/>
              </w:rPr>
              <w:t>992,317</w:t>
            </w:r>
          </w:p>
        </w:tc>
      </w:tr>
      <w:tr>
        <w:trPr>
          <w:trHeight w:val="33"/>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2,611,657</w:t>
            </w:r>
          </w:p>
        </w:tc>
      </w:tr>
      <w:tr>
        <w:trPr>
          <w:trHeight w:val="33"/>
        </w:trPr>
        <w:tc>
          <w:tcPr>
            <w:tcW w:w="9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jc w:val="right"/>
              <w:ind w:right="79"/>
              <w:spacing w:after="0"/>
              <w:rPr>
                <w:sz w:val="20"/>
                <w:szCs w:val="20"/>
                <w:color w:val="auto"/>
              </w:rPr>
            </w:pPr>
            <w:r>
              <w:rPr>
                <w:rFonts w:ascii="Arial" w:cs="Arial" w:eastAsia="Arial" w:hAnsi="Arial"/>
                <w:sz w:val="14"/>
                <w:szCs w:val="14"/>
                <w:b w:val="1"/>
                <w:bCs w:val="1"/>
                <w:color w:val="auto"/>
              </w:rPr>
              <w:t>(In thousands of dollars)</w:t>
            </w:r>
          </w:p>
        </w:tc>
        <w:tc>
          <w:tcPr>
            <w:tcW w:w="90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275,130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253,175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21,955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(46,001)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12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(224,160)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(194,678)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(29,482)</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net cash provided by operating activities for the first nine months of 2017 of $22.0 million, or 9%, from the first nine months of 2016, was due primarily to a net benefit from changes in working capital and growth in cash revenues, including cash escalations that are subject to straight-line accounting.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Sustaining capital expenditures consist of capital improvements on our sites that enable our customers' ongoing quiet enjoyment of the site.</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nine months ended September 30,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0"/>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gridSpan w:val="6"/>
          </w:tcPr>
          <w:p>
            <w:pPr>
              <w:jc w:val="right"/>
              <w:ind w:right="79"/>
              <w:spacing w:after="0"/>
              <w:rPr>
                <w:sz w:val="20"/>
                <w:szCs w:val="20"/>
                <w:color w:val="auto"/>
              </w:rPr>
            </w:pPr>
            <w:r>
              <w:rPr>
                <w:rFonts w:ascii="Arial" w:cs="Arial" w:eastAsia="Arial" w:hAnsi="Arial"/>
                <w:sz w:val="14"/>
                <w:szCs w:val="14"/>
                <w:b w:val="1"/>
                <w:bCs w:val="1"/>
                <w:color w:val="auto"/>
                <w:w w:val="91"/>
              </w:rPr>
              <w:t>(In thousands of dollars)</w:t>
            </w:r>
          </w:p>
        </w:tc>
        <w:tc>
          <w:tcPr>
            <w:tcW w:w="900" w:type="dxa"/>
            <w:vAlign w:val="bottom"/>
          </w:tcPr>
          <w:p>
            <w:pPr>
              <w:spacing w:after="0"/>
              <w:rPr>
                <w:sz w:val="16"/>
                <w:szCs w:val="16"/>
                <w:color w:val="auto"/>
              </w:rPr>
            </w:pPr>
          </w:p>
        </w:tc>
      </w:tr>
      <w:tr>
        <w:trPr>
          <w:trHeight w:val="249"/>
        </w:trPr>
        <w:tc>
          <w:tcPr>
            <w:tcW w:w="7780" w:type="dxa"/>
            <w:vAlign w:val="bottom"/>
          </w:tcPr>
          <w:p>
            <w:pPr>
              <w:ind w:left="40"/>
              <w:spacing w:after="0"/>
              <w:rPr>
                <w:sz w:val="20"/>
                <w:szCs w:val="20"/>
                <w:color w:val="auto"/>
              </w:rPr>
            </w:pPr>
            <w:r>
              <w:rPr>
                <w:rFonts w:ascii="Arial" w:cs="Arial" w:eastAsia="Arial" w:hAnsi="Arial"/>
                <w:sz w:val="16"/>
                <w:szCs w:val="16"/>
                <w:color w:val="auto"/>
              </w:rPr>
              <w:t>Site improvements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40,338</w:t>
            </w:r>
          </w:p>
        </w:tc>
        <w:tc>
          <w:tcPr>
            <w:tcW w:w="48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32,980</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7,358</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Sustaining</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46,001</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39,317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6,684</w:t>
            </w:r>
          </w:p>
        </w:tc>
      </w:tr>
      <w:tr>
        <w:trPr>
          <w:trHeight w:val="33"/>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cash flows used for financing activities in the nine months ended September 30, 2017 and 2016 includes the impact from our continued practice of distributing excess cash to our member and ultimately other subsidiaries of CCIC. In September 2016, CCIC issued $700 million aggregate principal amount of September 2016 Senior Notes. CCIC used a portion of the net proceeds from the September 2016 Senior Notes offering to repay $508.5 million of our previously outstanding 2.381% Secured Notes. We recorded an equity contribution related to the debt repayment of our 2.381% Secured Notes for the nine months ended September 30, 2016. See notes 3 and 4 to our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2016 Form 10-K for a discussion of the 2012 Secured Notes, debt restrictions, and disclosures about market risk. There are no financial maintenance covenants in the 2012 Secured Notes. We are currently not restricted in our ability to incur additional indebtedness or distribute cash to affiliates or issue dividends to our parent.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2017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2016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in our 2016 Form 10-K. The critical accounting policies and estimates for the first nine months of 2017 have not changed from the critical accounting policies for the year ended December 31, 2016.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Recently Adopted Accounting Pronouncements. </w:t>
      </w:r>
      <w:r>
        <w:rPr>
          <w:rFonts w:ascii="Arial" w:cs="Arial" w:eastAsia="Arial" w:hAnsi="Arial"/>
          <w:sz w:val="16"/>
          <w:szCs w:val="16"/>
          <w:color w:val="auto"/>
        </w:rPr>
        <w:t>See note 2 to our condensed consolidated financial statements.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Recent Accounting Pronouncements Not Yet Adopted. </w:t>
      </w:r>
      <w:r>
        <w:rPr>
          <w:rFonts w:ascii="Arial" w:cs="Arial" w:eastAsia="Arial" w:hAnsi="Arial"/>
          <w:sz w:val="15"/>
          <w:szCs w:val="15"/>
          <w:color w:val="auto"/>
        </w:rPr>
        <w:t>See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746" w:right="1440"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1A—Risk Factors"</w:t>
      </w:r>
      <w:r>
        <w:rPr>
          <w:rFonts w:ascii="Arial" w:cs="Arial" w:eastAsia="Arial" w:hAnsi="Arial"/>
          <w:sz w:val="18"/>
          <w:szCs w:val="18"/>
          <w:color w:val="auto"/>
        </w:rPr>
        <w:t xml:space="preserve"> in our 2016 Form 10-K.</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71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Certification of Chief Executive Officer and Chief Financial Officer pursuant to Section 906 of Sarbanes-Oxley Act of 2002</w:t>
              </w:r>
            </w:hyperlink>
          </w:p>
        </w:tc>
      </w:tr>
    </w:tbl>
    <w:p>
      <w:pPr>
        <w:spacing w:after="0" w:line="188" w:lineRule="exact"/>
        <w:rPr>
          <w:sz w:val="20"/>
          <w:szCs w:val="20"/>
          <w:color w:val="auto"/>
        </w:rPr>
      </w:pPr>
    </w:p>
    <w:p>
      <w:pPr>
        <w:ind w:left="500" w:hanging="307"/>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101.SCH</w:t>
      </w:r>
      <w:r>
        <w:rPr>
          <w:rFonts w:ascii="Arial" w:cs="Arial" w:eastAsia="Arial" w:hAnsi="Arial"/>
          <w:sz w:val="16"/>
          <w:szCs w:val="16"/>
          <w:color w:val="auto"/>
        </w:rPr>
        <w:t>XBRL Taxonomy Extension Schema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101.DEF</w:t>
      </w:r>
      <w:r>
        <w:rPr>
          <w:rFonts w:ascii="Arial" w:cs="Arial" w:eastAsia="Arial" w:hAnsi="Arial"/>
          <w:sz w:val="16"/>
          <w:szCs w:val="16"/>
          <w:color w:val="auto"/>
        </w:rPr>
        <w:t>XBRL Taxonomy Extension Definition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101.CAL</w:t>
      </w:r>
      <w:r>
        <w:rPr>
          <w:rFonts w:ascii="Arial" w:cs="Arial" w:eastAsia="Arial" w:hAnsi="Arial"/>
          <w:sz w:val="16"/>
          <w:szCs w:val="16"/>
          <w:color w:val="auto"/>
        </w:rPr>
        <w:t>XBRL Taxonomy Extension Calculation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101.PRE</w:t>
      </w:r>
      <w:r>
        <w:rPr>
          <w:rFonts w:ascii="Arial" w:cs="Arial" w:eastAsia="Arial" w:hAnsi="Arial"/>
          <w:sz w:val="16"/>
          <w:szCs w:val="16"/>
          <w:color w:val="auto"/>
        </w:rPr>
        <w:t>XBRL Taxonomy Extension Presentation Linkbase Document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and Chief Financial Officer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50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September 30, 2017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September 30, 2017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6, 2017</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6, 2017</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2)"/>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Archives/edgar/data/1574211/000119312513158983/d519395dex31.htm" TargetMode="External"/><Relationship Id="rId12"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2019-12-29T03:03:50Z</dcterms:created>
  <dcterms:modified xsi:type="dcterms:W3CDTF">2019-12-29T03:03:50Z</dcterms:modified>
</cp:coreProperties>
</file>