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40" w:after="283"/>
        <w:jc w:val="center"/>
        <w:rPr>
          <w:rFonts w:ascii="Times New Roman;serif" w:hAnsi="Times New Roman;serif"/>
          <w:b w:val="false"/>
          <w:color w:val="000000"/>
          <w:sz w:val="16"/>
        </w:rPr>
      </w:pPr>
      <w:r>
        <w:rPr>
          <w:rFonts w:ascii="Times New Roman;serif" w:hAnsi="Times New Roman;serif"/>
          <w:b w:val="false"/>
          <w:color w:val="000000"/>
          <w:sz w:val="16"/>
        </w:rPr>
        <w:t>For the quarterly period ended March 31, 2026</w:t>
      </w:r>
    </w:p>
    <w:p>
      <w:pPr>
        <w:pStyle w:val="TextBody"/>
        <w:bidi w:val="0"/>
        <w:spacing w:lineRule="auto" w:line="240" w:before="60" w:after="283"/>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For the transition period    to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File Number 001-16441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before="0" w:after="0"/>
        <w:jc w:val="center"/>
        <w:rPr/>
      </w:pPr>
      <w:r>
        <w:rPr/>
        <w:drawing>
          <wp:inline distT="0" distB="0" distL="0" distR="0">
            <wp:extent cx="8953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95350" cy="4857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CROWN CASTLE INC.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371" w:type="dxa"/>
        <w:jc w:val="center"/>
        <w:tblInd w:w="0" w:type="dxa"/>
        <w:tblLayout w:type="fixed"/>
        <w:tblCellMar>
          <w:top w:w="28" w:type="dxa"/>
          <w:left w:w="28" w:type="dxa"/>
          <w:bottom w:w="28" w:type="dxa"/>
          <w:right w:w="28" w:type="dxa"/>
        </w:tblCellMar>
      </w:tblPr>
      <w:tblGrid>
        <w:gridCol w:w="392"/>
        <w:gridCol w:w="345"/>
        <w:gridCol w:w="345"/>
        <w:gridCol w:w="345"/>
        <w:gridCol w:w="345"/>
        <w:gridCol w:w="354"/>
        <w:gridCol w:w="193"/>
        <w:gridCol w:w="193"/>
        <w:gridCol w:w="193"/>
        <w:gridCol w:w="193"/>
        <w:gridCol w:w="193"/>
        <w:gridCol w:w="280"/>
      </w:tblGrid>
      <w:tr>
        <w:trPr/>
        <w:tc>
          <w:tcPr>
            <w:tcW w:w="3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2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76-0470458</w:t>
            </w:r>
          </w:p>
        </w:tc>
      </w:tr>
      <w:tr>
        <w:trPr/>
        <w:tc>
          <w:tcPr>
            <w:tcW w:w="212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 or organization)</w:t>
            </w:r>
          </w:p>
        </w:tc>
        <w:tc>
          <w:tcPr>
            <w:tcW w:w="124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8020 Katy Freeway, Houston, Texas 77024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executives office) (Zip Code)</w:t>
      </w:r>
    </w:p>
    <w:p>
      <w:pPr>
        <w:pStyle w:val="TextBody"/>
        <w:bidi w:val="0"/>
        <w:spacing w:lineRule="auto" w:line="288" w:before="120" w:after="283"/>
        <w:jc w:val="center"/>
        <w:rPr/>
      </w:pPr>
      <w:r>
        <w:rPr>
          <w:rFonts w:ascii="Times New Roman;serif" w:hAnsi="Times New Roman;serif"/>
          <w:b/>
          <w:color w:val="000000"/>
          <w:sz w:val="18"/>
        </w:rPr>
        <w:t>(713)</w:t>
      </w:r>
      <w:r>
        <w:rPr>
          <w:color w:val="000000"/>
        </w:rPr>
        <w:t xml:space="preserve"> </w:t>
      </w:r>
      <w:r>
        <w:rPr>
          <w:rFonts w:ascii="Times New Roman;serif" w:hAnsi="Times New Roman;serif"/>
          <w:b/>
          <w:color w:val="000000"/>
          <w:sz w:val="18"/>
        </w:rPr>
        <w:t xml:space="preserve">570-3000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60" w:after="180"/>
        <w:jc w:val="center"/>
        <w:rPr>
          <w:color w:val="000000"/>
        </w:rPr>
      </w:pPr>
      <w:r>
        <w:rPr>
          <w:color w:val="000000"/>
        </w:rPr>
        <w:t> </w:t>
      </w:r>
      <w:r>
        <w:rPr>
          <w:rFonts w:ascii="Times New Roman;serif" w:hAnsi="Times New Roman;serif"/>
          <w:b w:val="false"/>
          <w:color w:val="000000"/>
          <w:sz w:val="16"/>
        </w:rPr>
        <w:t>Securities registered pursuant to Section 12(b) of the Act:</w:t>
      </w:r>
    </w:p>
    <w:tbl>
      <w:tblPr>
        <w:tblW w:w="7261" w:type="dxa"/>
        <w:jc w:val="center"/>
        <w:tblInd w:w="0" w:type="dxa"/>
        <w:tblLayout w:type="fixed"/>
        <w:tblCellMar>
          <w:top w:w="28" w:type="dxa"/>
          <w:left w:w="28" w:type="dxa"/>
          <w:bottom w:w="28" w:type="dxa"/>
          <w:right w:w="28" w:type="dxa"/>
        </w:tblCellMar>
      </w:tblPr>
      <w:tblGrid>
        <w:gridCol w:w="862"/>
        <w:gridCol w:w="756"/>
        <w:gridCol w:w="766"/>
        <w:gridCol w:w="109"/>
        <w:gridCol w:w="484"/>
        <w:gridCol w:w="484"/>
        <w:gridCol w:w="486"/>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3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CCI</w:t>
            </w:r>
          </w:p>
        </w:tc>
        <w:tc>
          <w:tcPr>
            <w:tcW w:w="33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 ☐</w:t>
      </w:r>
    </w:p>
    <w:p>
      <w:pPr>
        <w:pStyle w:val="TextBody"/>
        <w:bidi w:val="0"/>
        <w:spacing w:lineRule="auto" w:line="288" w:before="120" w:after="283"/>
        <w:ind w:left="0" w:right="0" w:firstLine="36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22"/>
        <w:gridCol w:w="1132"/>
        <w:gridCol w:w="1078"/>
        <w:gridCol w:w="242"/>
        <w:gridCol w:w="242"/>
        <w:gridCol w:w="242"/>
        <w:gridCol w:w="242"/>
        <w:gridCol w:w="242"/>
        <w:gridCol w:w="242"/>
        <w:gridCol w:w="1289"/>
        <w:gridCol w:w="1289"/>
        <w:gridCol w:w="1295"/>
        <w:gridCol w:w="242"/>
        <w:gridCol w:w="242"/>
        <w:gridCol w:w="242"/>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firstLine="360"/>
        <w:jc w:val="both"/>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Number of shares of common stock outstanding at May 5, 2026: 436,451,983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521"/>
        <w:gridCol w:w="459"/>
        <w:gridCol w:w="459"/>
        <w:gridCol w:w="2699"/>
        <w:gridCol w:w="2604"/>
        <w:gridCol w:w="2562"/>
        <w:gridCol w:w="109"/>
        <w:gridCol w:w="109"/>
        <w:gridCol w:w="109"/>
        <w:gridCol w:w="167"/>
        <w:gridCol w:w="167"/>
        <w:gridCol w:w="240"/>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0">
              <w:r>
                <w:rPr>
                  <w:rStyle w:val="InternetLink"/>
                  <w:rFonts w:ascii="Times New Roman;serif" w:hAnsi="Times New Roman;serif"/>
                  <w:b w:val="false"/>
                  <w:color w:val="000000"/>
                  <w:sz w:val="20"/>
                  <w:u w:val="single"/>
                </w:rPr>
                <w:t>PART I—FINANCIAL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0">
              <w:r>
                <w:rPr>
                  <w:rStyle w:val="InternetLink"/>
                  <w:rFonts w:ascii="Times New Roman;serif" w:hAnsi="Times New Roman;serif"/>
                  <w:b w:val="false"/>
                  <w:color w:val="0033FF"/>
                  <w:sz w:val="20"/>
                  <w:u w:val="single"/>
                </w:rPr>
                <w:t>3</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3">
              <w:r>
                <w:rPr>
                  <w:rStyle w:val="InternetLink"/>
                  <w:rFonts w:ascii="Times New Roman;serif" w:hAnsi="Times New Roman;serif"/>
                  <w:b w:val="false"/>
                  <w:color w:val="000000"/>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3">
              <w:r>
                <w:rPr>
                  <w:rStyle w:val="InternetLink"/>
                  <w:rFonts w:ascii="Times New Roman;serif" w:hAnsi="Times New Roman;serif"/>
                  <w:b w:val="false"/>
                  <w:color w:val="0033FF"/>
                  <w:sz w:val="20"/>
                  <w:u w:val="single"/>
                </w:rPr>
                <w:t>3</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6">
              <w:r>
                <w:rPr>
                  <w:rStyle w:val="InternetLink"/>
                  <w:rFonts w:ascii="Times New Roman;serif" w:hAnsi="Times New Roman;serif"/>
                  <w:b w:val="false"/>
                  <w:color w:val="000080"/>
                  <w:sz w:val="20"/>
                  <w:u w:val="single"/>
                </w:rPr>
                <w:t>CONDENSED CONSOLIDATED BALANCE SHEET</w:t>
              </w:r>
            </w:hyperlink>
            <w:r>
              <w:rPr>
                <w:rFonts w:ascii="Times New Roman;serif" w:hAnsi="Times New Roman;serif"/>
                <w:b w:val="false"/>
                <w:color w:val="000000"/>
                <w:sz w:val="20"/>
                <w:u w:val="single"/>
              </w:rPr>
              <w:t xml:space="preserve">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6">
              <w:r>
                <w:rPr>
                  <w:rStyle w:val="InternetLink"/>
                  <w:rFonts w:ascii="Times New Roman;serif" w:hAnsi="Times New Roman;serif"/>
                  <w:b w:val="false"/>
                  <w:color w:val="0033FF"/>
                  <w:sz w:val="20"/>
                  <w:u w:val="single"/>
                </w:rPr>
                <w:t>3</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9">
              <w:r>
                <w:rPr>
                  <w:rStyle w:val="InternetLink"/>
                  <w:rFonts w:ascii="Times New Roman;serif" w:hAnsi="Times New Roman;serif"/>
                  <w:b w:val="false"/>
                  <w:color w:val="000000"/>
                  <w:sz w:val="20"/>
                  <w:u w:val="single"/>
                </w:rPr>
                <w:t>CONDENSED CONSOLIDATED STATEMENT OF OPERATIONS AND COMPREHENSIVE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9">
              <w:r>
                <w:rPr>
                  <w:rStyle w:val="InternetLink"/>
                  <w:rFonts w:ascii="Times New Roman;serif" w:hAnsi="Times New Roman;serif"/>
                  <w:b w:val="false"/>
                  <w:color w:val="0033FF"/>
                  <w:sz w:val="20"/>
                  <w:u w:val="single"/>
                </w:rPr>
                <w:t>4</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22">
              <w:r>
                <w:rPr>
                  <w:rStyle w:val="InternetLink"/>
                  <w:rFonts w:ascii="Times New Roman;serif" w:hAnsi="Times New Roman;serif"/>
                  <w:b w:val="false"/>
                  <w:color w:val="000000"/>
                  <w:sz w:val="20"/>
                  <w:u w:val="single"/>
                </w:rPr>
                <w:t>CONDENSED CONSOLIDATED STATEMENT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22">
              <w:r>
                <w:rPr>
                  <w:rStyle w:val="InternetLink"/>
                  <w:rFonts w:ascii="Times New Roman;serif" w:hAnsi="Times New Roman;serif"/>
                  <w:b w:val="false"/>
                  <w:color w:val="0033FF"/>
                  <w:sz w:val="20"/>
                  <w:u w:val="single"/>
                </w:rPr>
                <w:t>5</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C</w:t>
            </w:r>
            <w:hyperlink w:anchor="i1c74d4b8276f4503a61147fdf69937b7_25">
              <w:r>
                <w:rPr>
                  <w:rStyle w:val="InternetLink"/>
                  <w:rFonts w:ascii="Times New Roman;serif" w:hAnsi="Times New Roman;serif"/>
                  <w:b w:val="false"/>
                  <w:color w:val="000080"/>
                  <w:sz w:val="20"/>
                  <w:u w:val="single"/>
                </w:rPr>
                <w:t>ONDENSED CONSOLIDATED STATEMENT OF EQUITY (DEFICIT)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25">
              <w:r>
                <w:rPr>
                  <w:rStyle w:val="InternetLink"/>
                  <w:rFonts w:ascii="Times New Roman;serif" w:hAnsi="Times New Roman;serif"/>
                  <w:b w:val="false"/>
                  <w:color w:val="0033FF"/>
                  <w:sz w:val="20"/>
                  <w:u w:val="single"/>
                </w:rPr>
                <w:t>6</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28">
              <w:r>
                <w:rPr>
                  <w:rStyle w:val="InternetLink"/>
                  <w:rFonts w:ascii="Times New Roman;serif" w:hAnsi="Times New Roman;serif"/>
                  <w:b w:val="false"/>
                  <w:color w:val="000000"/>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28">
              <w:r>
                <w:rPr>
                  <w:rStyle w:val="InternetLink"/>
                  <w:rFonts w:ascii="Times New Roman;serif" w:hAnsi="Times New Roman;serif"/>
                  <w:b w:val="false"/>
                  <w:color w:val="0033FF"/>
                  <w:sz w:val="20"/>
                  <w:u w:val="single"/>
                </w:rPr>
                <w:t>7</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79">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79">
              <w:r>
                <w:rPr>
                  <w:rStyle w:val="InternetLink"/>
                  <w:rFonts w:ascii="Times New Roman;serif" w:hAnsi="Times New Roman;serif"/>
                  <w:b w:val="false"/>
                  <w:color w:val="0000FF"/>
                  <w:sz w:val="20"/>
                  <w:u w:val="single"/>
                </w:rPr>
                <w:t>21</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00">
              <w:r>
                <w:rPr>
                  <w:rStyle w:val="InternetLink"/>
                  <w:rFonts w:ascii="Times New Roman;serif" w:hAnsi="Times New Roman;serif"/>
                  <w:b w:val="false"/>
                  <w:color w:val="000000"/>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00">
              <w:r>
                <w:rPr>
                  <w:rStyle w:val="InternetLink"/>
                  <w:rFonts w:ascii="Times New Roman;serif" w:hAnsi="Times New Roman;serif"/>
                  <w:b w:val="false"/>
                  <w:color w:val="0000FF"/>
                  <w:sz w:val="20"/>
                  <w:u w:val="single"/>
                </w:rPr>
                <w:t>35</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03">
              <w:r>
                <w:rPr>
                  <w:rStyle w:val="InternetLink"/>
                  <w:rFonts w:ascii="Times New Roman;serif" w:hAnsi="Times New Roman;serif"/>
                  <w:b w:val="false"/>
                  <w:color w:val="000000"/>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03">
              <w:r>
                <w:rPr>
                  <w:rStyle w:val="InternetLink"/>
                  <w:rFonts w:ascii="Times New Roman;serif" w:hAnsi="Times New Roman;serif"/>
                  <w:b w:val="false"/>
                  <w:color w:val="0033FF"/>
                  <w:sz w:val="20"/>
                  <w:u w:val="single"/>
                </w:rPr>
                <w:t>36</w:t>
              </w:r>
            </w:hyperlink>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06">
              <w:r>
                <w:rPr>
                  <w:rStyle w:val="InternetLink"/>
                  <w:rFonts w:ascii="Times New Roman;serif" w:hAnsi="Times New Roman;serif"/>
                  <w:b w:val="false"/>
                  <w:color w:val="000000"/>
                  <w:sz w:val="20"/>
                  <w:u w:val="single"/>
                </w:rPr>
                <w:t>PART II—OTHER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06">
              <w:r>
                <w:rPr>
                  <w:rStyle w:val="InternetLink"/>
                  <w:rFonts w:ascii="Times New Roman;serif" w:hAnsi="Times New Roman;serif"/>
                  <w:b w:val="false"/>
                  <w:color w:val="0033FF"/>
                  <w:sz w:val="20"/>
                  <w:u w:val="single"/>
                </w:rPr>
                <w:t>37</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09">
              <w:r>
                <w:rPr>
                  <w:rStyle w:val="InternetLink"/>
                  <w:rFonts w:ascii="Times New Roman;serif" w:hAnsi="Times New Roman;serif"/>
                  <w:b w:val="false"/>
                  <w:color w:val="000000"/>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09">
              <w:r>
                <w:rPr>
                  <w:rStyle w:val="InternetLink"/>
                  <w:rFonts w:ascii="Times New Roman;serif" w:hAnsi="Times New Roman;serif"/>
                  <w:b w:val="false"/>
                  <w:color w:val="0000FF"/>
                  <w:sz w:val="20"/>
                  <w:u w:val="single"/>
                </w:rPr>
                <w:t>37</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12">
              <w:r>
                <w:rPr>
                  <w:rStyle w:val="InternetLink"/>
                  <w:rFonts w:ascii="Times New Roman;serif" w:hAnsi="Times New Roman;serif"/>
                  <w:b w:val="false"/>
                  <w:color w:val="000000"/>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12">
              <w:r>
                <w:rPr>
                  <w:rStyle w:val="InternetLink"/>
                  <w:rFonts w:ascii="Times New Roman;serif" w:hAnsi="Times New Roman;serif"/>
                  <w:b w:val="false"/>
                  <w:color w:val="0000FF"/>
                  <w:sz w:val="20"/>
                  <w:u w:val="single"/>
                </w:rPr>
                <w:t>37</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15">
              <w:r>
                <w:rPr>
                  <w:rStyle w:val="InternetLink"/>
                  <w:rFonts w:ascii="Times New Roman;serif" w:hAnsi="Times New Roman;serif"/>
                  <w:b w:val="false"/>
                  <w:color w:val="000000"/>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15">
              <w:r>
                <w:rPr>
                  <w:rStyle w:val="InternetLink"/>
                  <w:rFonts w:ascii="Times New Roman;serif" w:hAnsi="Times New Roman;serif"/>
                  <w:b w:val="false"/>
                  <w:color w:val="0000FF"/>
                  <w:sz w:val="20"/>
                  <w:u w:val="single"/>
                </w:rPr>
                <w:t>37</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18">
              <w:r>
                <w:rPr>
                  <w:rStyle w:val="InternetLink"/>
                  <w:rFonts w:ascii="Times New Roman;serif" w:hAnsi="Times New Roman;serif"/>
                  <w:b w:val="false"/>
                  <w:color w:val="000000"/>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18">
              <w:r>
                <w:rPr>
                  <w:rStyle w:val="InternetLink"/>
                  <w:rFonts w:ascii="Times New Roman;serif" w:hAnsi="Times New Roman;serif"/>
                  <w:b w:val="false"/>
                  <w:color w:val="0033FF"/>
                  <w:sz w:val="20"/>
                  <w:u w:val="single"/>
                </w:rPr>
                <w:t>37</w:t>
              </w:r>
            </w:hyperlink>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21">
              <w:r>
                <w:rPr>
                  <w:rStyle w:val="InternetLink"/>
                  <w:rFonts w:ascii="Times New Roman;serif" w:hAnsi="Times New Roman;serif"/>
                  <w:b w:val="false"/>
                  <w:color w:val="000000"/>
                  <w:sz w:val="20"/>
                  <w:u w:val="single"/>
                </w:rPr>
                <w:t>EXHIBIT 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21">
              <w:r>
                <w:rPr>
                  <w:rStyle w:val="InternetLink"/>
                  <w:rFonts w:ascii="Times New Roman;serif" w:hAnsi="Times New Roman;serif"/>
                  <w:b w:val="false"/>
                  <w:color w:val="0000FF"/>
                  <w:sz w:val="20"/>
                  <w:u w:val="single"/>
                </w:rPr>
                <w:t>38</w:t>
              </w:r>
            </w:hyperlink>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c74d4b8276f4503a61147fdf69937b7_124">
              <w:r>
                <w:rPr>
                  <w:rStyle w:val="InternetLink"/>
                  <w:rFonts w:ascii="Times New Roman;serif" w:hAnsi="Times New Roman;serif"/>
                  <w:b w:val="false"/>
                  <w:color w:val="000000"/>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4d4b8276f4503a61147fdf69937b7_124">
              <w:r>
                <w:rPr>
                  <w:rStyle w:val="InternetLink"/>
                  <w:rFonts w:ascii="Times New Roman;serif" w:hAnsi="Times New Roman;serif"/>
                  <w:b w:val="false"/>
                  <w:color w:val="0000FF"/>
                  <w:sz w:val="20"/>
                  <w:u w:val="single"/>
                </w:rPr>
                <w:t>39</w:t>
              </w:r>
            </w:hyperlink>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Cautionary Language Regarding Forward-Looking Statements </w:t>
      </w:r>
    </w:p>
    <w:p>
      <w:pPr>
        <w:pStyle w:val="TextBody"/>
        <w:bidi w:val="0"/>
        <w:spacing w:before="180" w:after="283"/>
        <w:jc w:val="center"/>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"seek," "focus" and any variations of these words and similar expressions are intended to identify forward-looking statements. Examples of forward-looking statements include our full year 2026 outlook and plans, projections, expectations and estimates regarding (1) our strategy and the value of our business model, (2) demand for our towers, including factors driving such demand, (3) the growth potential of the U.S. market for towers, (4) demand for data and factors driving such demand, (5) tenants' investment to improve network quality and expand capacity, (6) our ability to service our debt and comply with debt covenants, (7) the level of commitment under our debt instruments, (8) our ability to remain qualified as a real estate investment trust ("REIT"), (9) site rental revenues, (10) sources and uses of liquidity, (11) impact from the DISH Terminations (as defined below), (12) drivers of cash flow growth, (13) dividends, (14) discretionary and sustaining capital expenditures, (15) non-renewals, (16) restructuring plans, including the timing and scope thereof, and the benefits, costs and charges associated therewith, (17) the sale of the Fiber Business (as defined below), including the use of proceeds therefrom, (18) our capital allocation framework, (19) potential land acquisitions under our towers and construction of new towers, (20) maintenance of an investment grade credit profile and (21) debt and share repurchases, including repurchase levels and amounts. Dividends remain subject to the approval of our board of directors, which has the discretion to determine whether to declare dividends and the amounts and timing of the dividends.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Such forward-looking statements should, therefore, be considered in light of various risks, uncertainties and assumptions, including prevailing market conditions, risk factors described in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 xml:space="preserve">of this Form 10-Q and the Annual Report on Form 10-K for the fiscal year ended December 31, 2025 ("2025 Form 10-K") and other factors. Should one or more of these risks or uncertainties materialize, or should underlying assumptions prove incorrect, actual results may vary materially from those expected.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filings with the SEC are available through the SEC website at </w:t>
      </w:r>
      <w:r>
        <w:rPr>
          <w:rFonts w:ascii="Times New Roman;serif" w:hAnsi="Times New Roman;serif"/>
          <w:b w:val="false"/>
          <w:color w:val="0563C1"/>
          <w:sz w:val="20"/>
          <w:u w:val="single"/>
        </w:rPr>
        <w:t>www.sec.gov</w:t>
      </w:r>
      <w:r>
        <w:rPr>
          <w:color w:val="000000"/>
        </w:rPr>
        <w:t xml:space="preserve"> </w:t>
      </w:r>
      <w:r>
        <w:rPr>
          <w:rFonts w:ascii="Times New Roman;serif" w:hAnsi="Times New Roman;serif"/>
          <w:b w:val="false"/>
          <w:color w:val="000000"/>
          <w:sz w:val="20"/>
        </w:rPr>
        <w:t xml:space="preserve">or through our investor relations website at </w:t>
      </w:r>
      <w:r>
        <w:rPr>
          <w:rFonts w:ascii="Times New Roman;serif" w:hAnsi="Times New Roman;serif"/>
          <w:b w:val="false"/>
          <w:color w:val="0563C1"/>
          <w:sz w:val="20"/>
          <w:u w:val="single"/>
        </w:rPr>
        <w:t>investor.crowncastle.com</w:t>
      </w:r>
      <w:r>
        <w:rPr>
          <w:rFonts w:ascii="Times New Roman;serif" w:hAnsi="Times New Roman;serif"/>
          <w:b w:val="false"/>
          <w:color w:val="000000"/>
          <w:sz w:val="20"/>
        </w:rPr>
        <w:t xml:space="preserve">. We use our investor relations website to disclose information about us that may be deemed to be material. We encourage investors, the media and others interested in us to visit our investor relations website from time to time to review up-to-date information or to sign up for e-mail alerts to be notified when new or updated information is posted on the 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Interpretation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used herein, the term "including," and any variation thereof, means "including without limitation." The use of the word "or" herein is not exclusive. Unless this Form 10-Q indicates otherwise or the context otherwise requires, the terms "we," "our," "our company," "the company" or "us" as used in this Form 10-Q refer to Crown Castle Inc. ("CCI") and its predecessor (organized in 1995), as applicable, each a Delaware corporation, and their subsidiaries. Additionally, unless the context suggests otherwise, references to "U.S." are to the United States of America and Puerto Rico, collectively. Capitalized terms used but not defined in this Form 10-Q have the same meaning given to them in the 2025 Form 10-K.</w:t>
      </w:r>
    </w:p>
    <w:p>
      <w:pPr>
        <w:pStyle w:val="TextBody"/>
        <w:bidi w:val="0"/>
        <w:spacing w:before="18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(Amounts in millions, except par values)</w:t>
      </w:r>
    </w:p>
    <w:tbl>
      <w:tblPr>
        <w:tblW w:w="9910" w:type="dxa"/>
        <w:jc w:val="center"/>
        <w:tblInd w:w="0" w:type="dxa"/>
        <w:tblLayout w:type="fixed"/>
        <w:tblCellMar>
          <w:top w:w="28" w:type="dxa"/>
          <w:left w:w="28" w:type="dxa"/>
          <w:bottom w:w="28" w:type="dxa"/>
          <w:right w:w="28" w:type="dxa"/>
        </w:tblCellMar>
      </w:tblPr>
      <w:tblGrid>
        <w:gridCol w:w="2459"/>
        <w:gridCol w:w="2152"/>
        <w:gridCol w:w="2168"/>
        <w:gridCol w:w="259"/>
        <w:gridCol w:w="856"/>
        <w:gridCol w:w="144"/>
        <w:gridCol w:w="109"/>
        <w:gridCol w:w="109"/>
        <w:gridCol w:w="109"/>
        <w:gridCol w:w="200"/>
        <w:gridCol w:w="660"/>
        <w:gridCol w:w="685"/>
      </w:tblGrid>
      <w:tr>
        <w:trPr/>
        <w:tc>
          <w:tcPr>
            <w:tcW w:w="245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deferred site rental receivables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Current assets of discontinued operations (note 3)</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site rental receivables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net of accumulated depreciation of $10,961 and $10,841, respectively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6,273 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 contracts and tenant relationships, 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Non-current assets of discontinued operations (note 3)</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10,291 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31,518 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LIABILITIES AND EQUITY (DEFICIT)</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color w:val="000000"/>
              </w:rPr>
            </w:pPr>
            <w:r>
              <w:rPr>
                <w:color w:val="000000"/>
              </w:rPr>
              <w:t> </w:t>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debt and other obligations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Current liabilities of discontinued operations (note 3)</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and other long-term obligations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21,554 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4,961 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Non-current liabilities of discontinued operations (note 3)</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33,311 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33,153 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9)</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Stockholders' equity (deficit):</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$0.01 par value; 1,200 shares authorized; shares issued and outstanding: </w:t>
            </w:r>
          </w:p>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16"/>
              </w:rPr>
              <w:t>March 31, 2026—436 and December 31, 2025—435</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18,527 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Dividends/distributions in excess of earnings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(20,161)</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Total equity (deficit)</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 (deficit)</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31,518 </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OPERATIONS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COMPREHENSIVE INCOME (LOSS) (Unaudited)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millions, except per share amounts)</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tbl>
      <w:tblPr>
        <w:tblW w:w="9208" w:type="dxa"/>
        <w:jc w:val="left"/>
        <w:tblInd w:w="0" w:type="dxa"/>
        <w:tblLayout w:type="fixed"/>
        <w:tblCellMar>
          <w:top w:w="28" w:type="dxa"/>
          <w:left w:w="28" w:type="dxa"/>
          <w:bottom w:w="28" w:type="dxa"/>
          <w:right w:w="28" w:type="dxa"/>
        </w:tblCellMar>
      </w:tblPr>
      <w:tblGrid>
        <w:gridCol w:w="2291"/>
        <w:gridCol w:w="2012"/>
        <w:gridCol w:w="2027"/>
        <w:gridCol w:w="240"/>
        <w:gridCol w:w="571"/>
        <w:gridCol w:w="133"/>
        <w:gridCol w:w="133"/>
        <w:gridCol w:w="133"/>
        <w:gridCol w:w="133"/>
        <w:gridCol w:w="240"/>
        <w:gridCol w:w="681"/>
        <w:gridCol w:w="133"/>
        <w:gridCol w:w="109"/>
        <w:gridCol w:w="109"/>
        <w:gridCol w:w="109"/>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and other</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Costs of operations:</w:t>
            </w:r>
            <w:r>
              <w:rPr>
                <w:rFonts w:ascii="Times New Roman;serif" w:hAnsi="Times New Roman;serif"/>
                <w:b w:val="false"/>
                <w:color w:val="000000"/>
                <w:sz w:val="10"/>
              </w:rPr>
              <w:t>(a)</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and other</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write-down charges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and amortization of deferred financing costs, net</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(provision) for income taxes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Discontinued operations (note 3):</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before gain (loss) from disposal, net of tax</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Gain (loss) from disposal of discontinued operations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w:t>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Comprehensive income (loss)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w:t>
            </w:r>
          </w:p>
        </w:tc>
        <w:tc>
          <w:tcPr>
            <w:tcW w:w="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basic</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basic</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(loss)—basic</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diluted</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(loss)—diluted</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w:t>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(a)Exclusive of depreciation, amortization and accretion, shown separately.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dollars)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47"/>
        <w:gridCol w:w="2482"/>
        <w:gridCol w:w="2492"/>
        <w:gridCol w:w="246"/>
        <w:gridCol w:w="530"/>
        <w:gridCol w:w="136"/>
        <w:gridCol w:w="136"/>
        <w:gridCol w:w="136"/>
        <w:gridCol w:w="136"/>
        <w:gridCol w:w="246"/>
        <w:gridCol w:w="617"/>
        <w:gridCol w:w="201"/>
      </w:tblGrid>
      <w:tr>
        <w:trPr/>
        <w:tc>
          <w:tcPr>
            <w:tcW w:w="2847"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before (gain) loss from disposal, net of tax</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from disposal of discontinued operations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Adjustments to reconcile income (loss) from continuing operations to net cash provided by (used for) operating activities:</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 and other non-cash interest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net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write-down charges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provision</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adjustments, net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 from discontinued operations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excluding the effects of acquisitions:</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accrued interest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accounts payable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liabilities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receivables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other assets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w:t>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 net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investing activities from discontinued operations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investing activities</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debt and other long-term obligations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and redemptions of long-term debt</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revolving credit facility</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under revolving credit facility</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issuances (repayments) under commercial paper program</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common stock</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Dividends/distributions paid on common stock</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financing activities</w:t>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increase (decrease) in cash and cash equivalents and restricted cash and cash equivalents</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Effect of exchange rate changes</w:t>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Cash and cash equivalents and restricted cash and cash equivalents at beginning of period</w:t>
            </w:r>
            <w:r>
              <w:rPr>
                <w:rFonts w:ascii="Times New Roman;serif" w:hAnsi="Times New Roman;serif"/>
                <w:b/>
                <w:color w:val="000000"/>
                <w:sz w:val="10"/>
              </w:rPr>
              <w:t>(a)</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Cash and cash equivalents and restricted cash and cash equivalents at end of period</w:t>
            </w:r>
            <w:r>
              <w:rPr>
                <w:rFonts w:ascii="Times New Roman;serif" w:hAnsi="Times New Roman;serif"/>
                <w:b/>
                <w:color w:val="000000"/>
                <w:sz w:val="10"/>
              </w:rPr>
              <w:t>(a)</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cash and cash equivalents and restricted cash and cash equivalents included in discontinued operations. See note 12.</w:t>
      </w:r>
    </w:p>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millions) (Unaudited)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90"/>
        <w:gridCol w:w="597"/>
        <w:gridCol w:w="600"/>
        <w:gridCol w:w="210"/>
        <w:gridCol w:w="211"/>
        <w:gridCol w:w="171"/>
        <w:gridCol w:w="109"/>
        <w:gridCol w:w="109"/>
        <w:gridCol w:w="109"/>
        <w:gridCol w:w="221"/>
        <w:gridCol w:w="272"/>
        <w:gridCol w:w="123"/>
        <w:gridCol w:w="109"/>
        <w:gridCol w:w="109"/>
        <w:gridCol w:w="109"/>
        <w:gridCol w:w="196"/>
        <w:gridCol w:w="646"/>
        <w:gridCol w:w="109"/>
        <w:gridCol w:w="109"/>
        <w:gridCol w:w="109"/>
        <w:gridCol w:w="109"/>
        <w:gridCol w:w="591"/>
        <w:gridCol w:w="772"/>
        <w:gridCol w:w="332"/>
        <w:gridCol w:w="109"/>
        <w:gridCol w:w="109"/>
        <w:gridCol w:w="109"/>
        <w:gridCol w:w="310"/>
        <w:gridCol w:w="1102"/>
        <w:gridCol w:w="172"/>
        <w:gridCol w:w="109"/>
        <w:gridCol w:w="109"/>
        <w:gridCol w:w="109"/>
        <w:gridCol w:w="196"/>
        <w:gridCol w:w="590"/>
        <w:gridCol w:w="159"/>
      </w:tblGrid>
      <w:tr>
        <w:trPr/>
        <w:tc>
          <w:tcPr>
            <w:tcW w:w="99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Dividends/Distributions in Excess of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($0.01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activity, net of forfeitures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and retirement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comprehensive income (loss)</w:t>
            </w:r>
            <w:r>
              <w:rPr>
                <w:rFonts w:ascii="Times New Roman;serif" w:hAnsi="Times New Roman;serif"/>
                <w:b w:val="false"/>
                <w:color w:val="000000"/>
                <w:sz w:val="10"/>
              </w:rPr>
              <w:t>(a)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dividends/distributions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(18,525)</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activity, net of forfeitures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and retirement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comprehensive income (loss)</w:t>
            </w:r>
            <w:r>
              <w:rPr>
                <w:rFonts w:ascii="Times New Roman;serif" w:hAnsi="Times New Roman;serif"/>
                <w:b w:val="false"/>
                <w:color w:val="000000"/>
                <w:sz w:val="10"/>
              </w:rPr>
              <w:t>(a)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dividends/distributions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(19,675)</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(a)See the condensed consolidated statement of operations and other comprehensive income (loss) for the components of other comprehensive income (loss).</w:t>
      </w:r>
    </w:p>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50"/>
        <w:jc w:val="left"/>
        <w:rPr>
          <w:rFonts w:ascii="Times New Roman;serif" w:hAnsi="Times New Roman;serif"/>
          <w:b/>
          <w:color w:val="000000"/>
          <w:sz w:val="20"/>
        </w:rPr>
      </w:pPr>
      <w:r>
        <w:rPr>
          <w:rFonts w:ascii="Times New Roman;serif" w:hAnsi="Times New Roman;serif"/>
          <w:b/>
          <w:color w:val="000000"/>
          <w:sz w:val="20"/>
        </w:rPr>
        <w:t>1.General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following notes to the condensed consolidated financial statements is condensed from that which would appear in the annual consolidated financial statements; accordingly, the condensed consolidated financial statements included herein should be reviewed in conjunction with the consolidated financial statements for the fiscal year ended December 31, 2025, and related notes thereto, included in the 2025 Form 10-K filed by Crown Castle Inc. ("CCI") with the SEC. Capitalized terms used but not defined in these notes to the condensed consolidated financial statements have the same meaning given to them in the 2025 Form 10-K. References to the "Company" refer to CCI and its predecessor, as applicable, and their subsidiaries, unless otherwise indicated or the context indicates otherwise. As used herein, the term "including," and any variation thereof means "including without limitation." The use of the word "or" herein is not exclusive. Unless the context suggests otherwise, references to "U.S." are to the United States of America and Puerto Rico, collectively.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owns, operates and leases shared communications infrastructure that is geographically dispersed throughout the U.S., including (1) towers and other structures, such as rooftops (collectively, "towers"), and (2) fiber primarily supporting small cell networks ("small cells") and fiber solutions. The Company's towers, small cells and fiber assets are collectively referred to herein as "communications infrastructure," and the Company's customers on its communications infrastructure are referred to herein as "tenants." The Company provides access, including space or capacity, to its communications infrastructure via long-term contracts in various forms, including lease, license, sublease and service agreements (collectively, "tenant contracts").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13, 2025, management signed a definitive agreement ("Strategic Fiber Agreement") to sell the small cells and fiber solutions businesses, together with certain supporting assets and personnel ("Fiber Business"), with Zayo Group Holdings Inc. ("Zayo") acquiring the fiber solutions business and EQT Active Core Infrastructure fund ("EQT") acquiring the small cells business ("Strategic Fiber Transaction"). The Strategic Fiber Transaction was completed on May 1, 2026. The Company received aggregate cash proceeds of $8.4 billion, representing the gross contractual purchase price of $8.5 billion less the net impact of preliminary purchase price adjustments of $124 million, which are subject to a post-closing settlement process. See note 14 to our condensed consolidated financial statements for a further discussion of the completion of the Strategic Fiber Transaction.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the aforementioned sale represents a material strategic shift for the Company, the Fiber Business' results and net assets are presented herein as discontinued operations for all periods presented. Related to the classification of the Fiber Business as "held for sale", the Company recognized a loss from disposal of discontinued operations of $345 million and $830 million, inclusive of estimated transaction fees, for the three months ended March 31, 2026 and 2025, respectively. Through the completion of the Strategic Fiber Transaction on May 1, 2026, the Company continued to operate the Fiber Business in accordance with the Strategic Fiber Agreement. See note 3 to our condensed consolidated financial statements for a further discussion of discontinued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the Company's effort to provide efficient and cost effective solutions, the Company also offers certain site development services relating to existing or new tenant equipment installations, including: site acquisition, architectural and engineering, or zoning and permitting (collectively, "site development services") as an ancillary offering relating to its towers.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operates as a REIT for U.S. federal income tax purposes. In addition, the Company has certain taxable REIT subsidiaries ("TRSs"). See note 7.</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Approximately 54% of the Company's towers are leased or subleased or operated and managed under master leases, subleases, and other agreements with AT&amp;T and T-Mobile (including those which T-Mobile assumed in its merger with Sprint). The Company has the option to purchase these towers at the end of their respective lease terms. The Company has no obligation to exercise such purchase options.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Basis of Presentation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included herein are unaudited; however, they include all adjustments (consisting only of normal recurring adjustments) which, in the opinion of management, are necessary to state fairly the condensed consolidated financial position of the Company as of March 31, 2026, the condensed consolidated results of operations for the three months ended March 31, 2026 and 2025, and the condensed consolidated cash flows for the three months ended March 31, 2026 and 2025. The year-end condensed consolidated balance sheet data was derived from audited financial statements, but does not include all disclosures required by GAAP. The results of operations for the interim periods presented are not necessarily indicative of the results to be expected for the full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Following the classification of the Fiber Business as discontinued operations, the Company has one reportable segment that constitutes consolidated results consisting of its towers operations. Unless otherwise noted, all activities and amounts reported in the following notes relate to the continuing operations of the Company and exclude activities and amounts related to discontinued operations. See notes 3 and 11 to our condensed consolidated financial statements for a discussion of discontinued operations and the Company's operating segment.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Adopted Accounting Pronouncements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accounting pronouncements adopted during the three months ended March 31, 2026, had a material impact on the Company's condensed consolidated financial statements.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new guidance that requires disclosure of disaggregated information about certain income statement expense line items in the notes to the financial statements for both annual and interim periods. The guidance will be effective for the Company's fiscal year ending December 31, 2027, and can be applied prospectively or retrospectively, with early adoption permitted. The Company is currently evaluating the effect of the guidance, including the potential impact on its financial statement disclosures.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new guidance to modernize the accounting for internal-use software to current development practices, clarify when to begin capitalizing costs and enhance disclosure requirements. The guidance will be effective for the Company's fiscal year ending December 31, 2028, and can be applied prospectively or retrospectively, with early adoption permitted. The Company is currently evaluating the effect of the guidance, including the potential impact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3.Discontinued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2024, the Company's board of directors established a Fiber Review Committee to oversee and direct the review of strategic and operational alternatives that were available to the Company with respect to its Fiber Business. The operational review concluded in June 2024 and resulted in the restructuring plan that management initiated in June 2024 ("2024 Restructuring Plan"), while the strategic review concluded in March 2025 with the signing of the Strategic Fiber Agreement. See note 13 to the Company's condensed consolidated financial statements for a discussion of the 2024 Restructuring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13, 2025, management signed the Strategic Fiber Agreement to sell the Fiber Business, with Zayo acquiring the fiber solutions business and EQT acquiring the small cells business. Under the Strategic Fiber Agreement, the Company was to receive $8.5 billion in aggregate cash proceeds, subject to certain closing adjustments. As such, the Fiber Business' results and net assets are presented herein as discontinued operations for all periods presented. Related to the classification of the Fiber Business as "held for sale", the Company recorded a loss from disposal of discontinued operations of $345 million and $830 million for the three months ended March 31, 2026 and 2025, respectively, which represents the excess of the carrying value of the Fiber Business over the purchase price, less estimated costs to sell. The additional loss recorded for the three months ended March 31, 2026, relates to ongoing investment in the Fiber Business during the period. The loss is included in "Gain (loss) from disposal of discontinued operations" in the condensed consolidated statement of operations and comprehensive income (loss). Due to the Company's REIT tax filing status, there is no tax benefit recognized related to the loss from disposal of the Fiber Business.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Strategic Fiber Transaction was completed on May 1, 2026. See note 14. Through the completion of the Strategic Fiber Transaction, management continued to operate the Fiber Business in accordance with the Strategic Fiber Agreement.</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historic Fiber segment was previously a separate reportable segment of the Company. The Company's Fiber reportable segment is treated as discontinued operations for all periods presented because the disposal represents a strategic shift that had a material impact on the Company's operating results. The tables below set forth the assets and liabilities related to discontinued operations as of March 31, 2026, and December 31, 2025, and results of operations related to discontinued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operations for the three months ended March 31, 2026 and 2025. See note 11 to our condensed consolidated financial statements for a discussion of our reportable segment.</w:t>
      </w:r>
    </w:p>
    <w:tbl>
      <w:tblPr>
        <w:tblW w:w="7315" w:type="dxa"/>
        <w:jc w:val="left"/>
        <w:tblInd w:w="0" w:type="dxa"/>
        <w:tblLayout w:type="fixed"/>
        <w:tblCellMar>
          <w:top w:w="28" w:type="dxa"/>
          <w:left w:w="28" w:type="dxa"/>
          <w:bottom w:w="28" w:type="dxa"/>
          <w:right w:w="28" w:type="dxa"/>
        </w:tblCellMar>
      </w:tblPr>
      <w:tblGrid>
        <w:gridCol w:w="1518"/>
        <w:gridCol w:w="1331"/>
        <w:gridCol w:w="1335"/>
        <w:gridCol w:w="259"/>
        <w:gridCol w:w="856"/>
        <w:gridCol w:w="144"/>
        <w:gridCol w:w="109"/>
        <w:gridCol w:w="109"/>
        <w:gridCol w:w="109"/>
        <w:gridCol w:w="304"/>
        <w:gridCol w:w="1002"/>
        <w:gridCol w:w="239"/>
      </w:tblGrid>
      <w:tr>
        <w:trPr/>
        <w:tc>
          <w:tcPr>
            <w:tcW w:w="15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color w:val="000000"/>
                <w:sz w:val="18"/>
              </w:rPr>
              <w:t>Other current assets</w:t>
            </w:r>
            <w:r>
              <w:rPr>
                <w:rFonts w:ascii="Times New Roman;serif" w:hAnsi="Times New Roman;serif"/>
                <w:b w:val="false"/>
                <w:color w:val="000000"/>
                <w:sz w:val="12"/>
              </w:rPr>
              <w:t>(a)</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Property and equipment</w:t>
            </w:r>
            <w:r>
              <w:rPr>
                <w:rFonts w:ascii="Times New Roman;serif" w:hAnsi="Times New Roman;serif"/>
                <w:b w:val="false"/>
                <w:color w:val="000000"/>
                <w:sz w:val="12"/>
              </w:rPr>
              <w:t>(b)</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intangible assets, net</w:t>
            </w:r>
            <w:r>
              <w:rPr>
                <w:rFonts w:ascii="Times New Roman;serif" w:hAnsi="Times New Roman;serif"/>
                <w:b w:val="false"/>
                <w:color w:val="000000"/>
                <w:sz w:val="12"/>
              </w:rPr>
              <w:t>(b)</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lease right-of-use assets and other assets, net</w:t>
            </w:r>
            <w:r>
              <w:rPr>
                <w:rFonts w:ascii="Times New Roman;serif" w:hAnsi="Times New Roman;serif"/>
                <w:b w:val="false"/>
                <w:color w:val="000000"/>
                <w:sz w:val="12"/>
              </w:rPr>
              <w:t>(b)</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Valuation allowance for assets held for sale</w:t>
            </w:r>
            <w:r>
              <w:rPr>
                <w:rFonts w:ascii="Times New Roman;serif" w:hAnsi="Times New Roman;serif"/>
                <w:b w:val="false"/>
                <w:color w:val="000000"/>
                <w:sz w:val="12"/>
              </w:rPr>
              <w:t>(c)</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LIABILITIES</w:t>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and other accrued liabilities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maturities of debt and other obligations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other long-term obligations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 and other long-term liabilities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9149" w:type="dxa"/>
        <w:jc w:val="left"/>
        <w:tblInd w:w="0" w:type="dxa"/>
        <w:tblLayout w:type="fixed"/>
        <w:tblCellMar>
          <w:top w:w="28" w:type="dxa"/>
          <w:left w:w="28" w:type="dxa"/>
          <w:bottom w:w="28" w:type="dxa"/>
          <w:right w:w="28" w:type="dxa"/>
        </w:tblCellMar>
      </w:tblPr>
      <w:tblGrid>
        <w:gridCol w:w="2270"/>
        <w:gridCol w:w="1996"/>
        <w:gridCol w:w="2003"/>
        <w:gridCol w:w="264"/>
        <w:gridCol w:w="568"/>
        <w:gridCol w:w="147"/>
        <w:gridCol w:w="147"/>
        <w:gridCol w:w="147"/>
        <w:gridCol w:w="147"/>
        <w:gridCol w:w="264"/>
        <w:gridCol w:w="568"/>
        <w:gridCol w:w="147"/>
        <w:gridCol w:w="109"/>
        <w:gridCol w:w="109"/>
        <w:gridCol w:w="109"/>
        <w:gridCol w:w="154"/>
      </w:tblGrid>
      <w:tr>
        <w:trPr/>
        <w:tc>
          <w:tcPr>
            <w:tcW w:w="2270"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expenses</w:t>
            </w:r>
            <w:r>
              <w:rPr>
                <w:rFonts w:ascii="Times New Roman;serif" w:hAnsi="Times New Roman;serif"/>
                <w:b w:val="false"/>
                <w:color w:val="000000"/>
                <w:sz w:val="12"/>
              </w:rPr>
              <w:t>(b)</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income taxes</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of March 31, 2026, and December 31, 2025, inclusive of $98 million and $34 million, respectively, in cash and cash equivalents and restricted cash and cash equivalents.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(b)Following the classification of the Fiber Business as "held for sale", the Company ceased depreciation and amortization of long-lived assets included in discontinued operations. For the three months ended March 31, 2025, the Company recorded $204 million of depreciation and amortization expense associated with the Fiber Business.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 addition to the loss recorded in conjunction with the valuation allowance for assets held for sale, there were $16 million and $11 million included in "Gain (loss) from disposal of discontinued operations" on the Company's condensed consolidated statement of operations and comprehensive income (loss) for the three months ended March 31, 2026, and March 31, 2025, respectively, related to selling costs that were incurred during the respective period ended. The Company's valuation allowance for assets held for sale was $830 million as of March 31,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4.Revenues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Site Rental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generates site rental revenues from its core business by providing tenants with access, including space or capacity, to its towers via long-term tenant contracts in various forms, including lease, license, sublease and service agreements. Typically, providing such access over the length of the tenant contract term represents the Company’s sole performance obligation under its tenant contracts.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Site rental revenues from the Company's tenant contracts are recognized on a straight-line, ratable basis over the fixed, non-cancelable term of the relevant tenant contract, which generally ranges between five to 15 years for wireless tenants, regardless of whether the payments from the tenant are received in equal monthly amounts during the life of the tenant contract. Certain of the Company's tenant contracts contain (1) fixed escalation clauses (such as fixed dollar or fixed percentage increases) or inflation-based escalation clauses (such as those tied to the Consumer Price Index), (2) multiple renewal periods exercisable at the tenant's option and (3) only limited termination rights at the applicable tenant's option through the current term. If the payment terms call for fixed escalators, upfront payments, or rent-free periods, the revenue is recognized on a straight-line basis over the fixed, non-cancelable term of the tenant contract.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recorded within "Current portion of deferred site rental receivables" and "Deferred site rental receivables" on the Company's condensed consolidated balance sheet. Amounts billed or received prior to being earned are deferred and reflected in "Deferred revenues" and "Other long-term liabilities" on the Company's condensed consolidated balance sheet. Amounts to which the Company has an unconditional right to payment, which are related to both satisfied or partially satisfied performance obligations, are recorded within "Receivables, net" on the Company's condensed consolidated balance sheet.</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Services and Other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the Company’s effort to provide efficient and cost effective solutions, as an ancillary business, the Company offers certain site development services.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may have multiple performance obligations for site development services, which primarily include: structural analysis, zoning, permitting and construction drawings. For each of these performance obligations, services revenues are recognized at completion of the applicable performance obligation, which represents the point at which the Company believes it has transferred goods or services to the tenant. The services revenue recognized is based on an allocation of the transaction price among the performance obligations in a respective tenant contract based on estimated standalone selling price. The volume and mix of site development services may vary among tenant contracts and may include a combination of some or all of the above performance obligations. Amounts are billed per contractual milestones, with payments generally due within 45 to 90 days, and generally do not contain variable-consideration provisions. Since performance obligations are typically satisfied prior to receiving payment from tenants, the unconditional right to payment is recorded within "Receivables, net" on the Company’s condensed consolidated balance sheet. Generally, the site development services the Company provides to its tenants have a duration of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Additional Information on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both January 1, 2026, and March 31, 2026, $437 million of unrecognized revenues, were reported in "Deferred revenues" and "Other long-term liabilities" on the Company's condensed consolidated balance sheet. During the three months ended March 31, 2026, approximately $32 million of the January 1, 2026, unrecognized revenues balance was recognized as revenues. As of January 1, 2025, $430 million of unrecognized revenues were reported in "Deferred revenues" and "Other long-term liabilities" on the Company's condensed consolidated balance sheet. During the three months ended March 31, 2025, approximately $37 million of the January 1, 2025, unrecognized revenues balance was recognized as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contracted amounts owed to the Company by tenants pursuant to tenant contracts in effect as of March 31, 2026.</w:t>
      </w:r>
    </w:p>
    <w:tbl>
      <w:tblPr>
        <w:tblW w:w="10205" w:type="dxa"/>
        <w:jc w:val="left"/>
        <w:tblInd w:w="0" w:type="dxa"/>
        <w:tblLayout w:type="fixed"/>
        <w:tblCellMar>
          <w:top w:w="28" w:type="dxa"/>
          <w:left w:w="28" w:type="dxa"/>
          <w:bottom w:w="28" w:type="dxa"/>
          <w:right w:w="28" w:type="dxa"/>
        </w:tblCellMar>
      </w:tblPr>
      <w:tblGrid>
        <w:gridCol w:w="455"/>
        <w:gridCol w:w="399"/>
        <w:gridCol w:w="401"/>
        <w:gridCol w:w="109"/>
        <w:gridCol w:w="109"/>
        <w:gridCol w:w="109"/>
        <w:gridCol w:w="309"/>
        <w:gridCol w:w="877"/>
        <w:gridCol w:w="17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7"/>
      </w:tblGrid>
      <w:tr>
        <w:trPr/>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Nine Months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Contracted amounts</w:t>
            </w:r>
            <w:r>
              <w:rPr>
                <w:rFonts w:ascii="Times New Roman;serif" w:hAnsi="Times New Roman;serif"/>
                <w:b w:val="false"/>
                <w:color w:val="000000"/>
                <w:sz w:val="12"/>
              </w:rPr>
              <w:t>(a)(b)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(a)Excludes amounts related to services, as those contracts generally have a duration of one year or less.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(b)Excludes approximately $3.5 billion due from DISH Wireless L.L.C ("DISH") following the termination of the DISH Master Lease Agreement and underlying agreements delivered by the Company on January 12, 2026. See note 9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5.Debt and Other Obligations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Company's debt and other obligations as of March 31, 2026.</w:t>
      </w:r>
    </w:p>
    <w:tbl>
      <w:tblPr>
        <w:tblW w:w="10205" w:type="dxa"/>
        <w:jc w:val="left"/>
        <w:tblInd w:w="0" w:type="dxa"/>
        <w:tblLayout w:type="fixed"/>
        <w:tblCellMar>
          <w:top w:w="28" w:type="dxa"/>
          <w:left w:w="28" w:type="dxa"/>
          <w:bottom w:w="28" w:type="dxa"/>
          <w:right w:w="28" w:type="dxa"/>
        </w:tblCellMar>
      </w:tblPr>
      <w:tblGrid>
        <w:gridCol w:w="1044"/>
        <w:gridCol w:w="836"/>
        <w:gridCol w:w="840"/>
        <w:gridCol w:w="277"/>
        <w:gridCol w:w="263"/>
        <w:gridCol w:w="264"/>
        <w:gridCol w:w="109"/>
        <w:gridCol w:w="109"/>
        <w:gridCol w:w="109"/>
        <w:gridCol w:w="274"/>
        <w:gridCol w:w="264"/>
        <w:gridCol w:w="266"/>
        <w:gridCol w:w="109"/>
        <w:gridCol w:w="109"/>
        <w:gridCol w:w="109"/>
        <w:gridCol w:w="321"/>
        <w:gridCol w:w="1061"/>
        <w:gridCol w:w="178"/>
        <w:gridCol w:w="109"/>
        <w:gridCol w:w="109"/>
        <w:gridCol w:w="109"/>
        <w:gridCol w:w="232"/>
        <w:gridCol w:w="767"/>
        <w:gridCol w:w="129"/>
        <w:gridCol w:w="109"/>
        <w:gridCol w:w="109"/>
        <w:gridCol w:w="109"/>
        <w:gridCol w:w="357"/>
        <w:gridCol w:w="340"/>
        <w:gridCol w:w="801"/>
        <w:gridCol w:w="109"/>
        <w:gridCol w:w="109"/>
        <w:gridCol w:w="165"/>
      </w:tblGrid>
      <w:tr>
        <w:trPr/>
        <w:tc>
          <w:tcPr>
            <w:tcW w:w="10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Original</w:t>
              <w:b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Final</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Maturity</w:t>
            </w:r>
          </w:p>
          <w:p>
            <w:pPr>
              <w:pStyle w:val="TableContents"/>
              <w:bidi w:val="0"/>
              <w:spacing w:lineRule="auto" w:line="240" w:before="0" w:after="0"/>
              <w:jc w:val="center"/>
              <w:rPr/>
            </w:pPr>
            <w:r>
              <w:rPr>
                <w:rFonts w:ascii="Times New Roman;serif" w:hAnsi="Times New Roman;serif"/>
                <w:b/>
                <w:color w:val="000000"/>
                <w:sz w:val="14"/>
              </w:rPr>
              <w:t>Date</w:t>
            </w:r>
            <w:r>
              <w:rPr>
                <w:rFonts w:ascii="Times New Roman;serif" w:hAnsi="Times New Roman;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Balance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Balance as of</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Stated Interest</w:t>
            </w:r>
          </w:p>
          <w:p>
            <w:pPr>
              <w:pStyle w:val="TableContents"/>
              <w:bidi w:val="0"/>
              <w:spacing w:lineRule="auto" w:line="240" w:before="0" w:after="0"/>
              <w:jc w:val="center"/>
              <w:rPr/>
            </w:pPr>
            <w:r>
              <w:rPr>
                <w:rFonts w:ascii="Times New Roman;serif" w:hAnsi="Times New Roman;serif"/>
                <w:b/>
                <w:color w:val="000000"/>
                <w:sz w:val="14"/>
              </w:rPr>
              <w:t>Rate as of March 31, 2026</w:t>
            </w:r>
            <w:r>
              <w:rPr>
                <w:rFonts w:ascii="Times New Roman;serif" w:hAnsi="Times New Roman;serif"/>
                <w:b/>
                <w:color w:val="000000"/>
                <w:sz w:val="9"/>
              </w:rPr>
              <w:t>(a)(b)</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Notes, Series 2009-1, Class A-2</w:t>
            </w:r>
          </w:p>
        </w:tc>
        <w:tc>
          <w:tcPr>
            <w:tcW w:w="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Tower Revenue Notes, Series 2018-2</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2048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(c)</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Installment purchase liabilities and finance leases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(d)</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(d)</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(e)</w:t>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w:t>
            </w:r>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(d)</w:t>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secured debt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2016 Revolver</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(f)</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(g)</w:t>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2016 Term Loan A</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(g)</w:t>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(h)</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(h)</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(h)</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4.450%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(i)</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3.700%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4.000%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2.900%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3.650%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5.000%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3.800%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4.800%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4.300%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5.600%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4.900%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Sept.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3.100%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3.300%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2.250%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2.100%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5.100%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5.800%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5.200%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Sept.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2.900%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4.750%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5.200%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4.000%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 2049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4.150% Senior Notes</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3.250% Senior Notes</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unsecured debt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and other obligations</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debt and other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debt and other long-term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(a)See the 2025 Form 10-K, including note 8 to the consolidated financial statements, for additional information regarding the maturity and principal amortization provisions and interest rates relating to the Company's indebtedness.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the weighted-average stated interest rate, as applicable.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(c)If the $750 million aggregate principal amount of 4.241% senior secured tower revenue notes ("Tower Revenue Notes, Series 2018-2") is not paid in full on or prior to July 2028, the anticipated repayment date, then Excess Cash Flow (as defined in the indenture) of the issuers of such notes will be used to repay the principal, and additional interest (of an approximately 5% per annum) will accrue on such notes. The Tower Revenue Notes, Series 2018-2 are prepayable at par if voluntarily repaid within eighteen months of the anticipated repayment date; earlier prepayment may require additional consideration.</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Company's installment purchases primarily relate to land and bear interest rates up to 8% and mature in periods ranging from less than one year to approximately 20 years.</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(e)For the periods ended March 31, 2026, and December 31, 2025, reflects $4 million and $5 million, respectively, in finance lease obligations (primarily related to vehicles).</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(f)As of March 31, 2026, the undrawn availability under the Company's senior unsecured revolving credit facility ("2016 Revolver") was $4.7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(g)Both the 2016 Revolver and the senior unsecured term loan A facility ("2016 Term Loan A" and, collectively, "2016 Credit Facility") bear interest, at the Company's option, at either (1) Term SOFR plus (i) a credit spread adjustment of 0.10% per annum and (ii) a credit spread ranging from 0.875% to 1.750% per annum or (2) an alternate base rate plus a credit spread ranging from 0.000% to 0.750% per annum, in each case, with the applicable credit spread based on the Company's senior unsecured debt rating. The Company pays a commitment fee ranging from 0.080% to 0.300%, based on the Company's senior unsecured debt rating, per annum on the undrawn available amount under the 2016 Revolver. See the 2025 Form 10-K, including note 8 to the consolidated financial statements, for information regarding potential adjustments to such percentages.</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(h)The maturities of the short-term, unsecured commercial paper notes ("Commercial Paper Notes"), when outstanding, may vary but may not exceed 397 days from the date of issue; however, there were no Commercial Paper Notes issued or outstanding during the period that had original maturities greater than three months. The Commercial Paper Notes are issued under customary terms in the commercial paper market and are issued at a discount from par or, alternatively, can be issued at par and bear varying interest rates on a fixed or floating basis. At any point in time, the Company intends to maintain available commitments under its 2016 Revolver in an amount at least equal to the amount of Commercial Paper Notes outstanding. While any outstanding Commercial Paper Notes generally have short-term maturities, the Company classifies the outstanding issuances, when applicable, as long-term based on its ability and intent to refinance the outstanding issuances on a long-term basis.</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(i)In February 2026, the Company repaid in full the 4.450% Senior Notes on the contractual maturity date.</w:t>
      </w:r>
    </w:p>
    <w:p>
      <w:pPr>
        <w:pStyle w:val="TextBody"/>
        <w:bidi w:val="0"/>
        <w:spacing w:before="0" w:after="0"/>
        <w:jc w:val="both"/>
        <w:rPr/>
      </w:pPr>
      <w:r>
        <w:rPr/>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Scheduled Principal Payments and Final Maturities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are the scheduled principal payments and final maturities of the total debt and other long-term obligations of the Company outstanding as of March 31, 2026, which do not consider the principal payments that will commence following the anticipated repayment date on the Tower Revenue Notes, Series 2018-2. </w:t>
      </w:r>
    </w:p>
    <w:tbl>
      <w:tblPr>
        <w:tblW w:w="11276" w:type="dxa"/>
        <w:jc w:val="left"/>
        <w:tblInd w:w="0" w:type="dxa"/>
        <w:tblLayout w:type="fixed"/>
        <w:tblCellMar>
          <w:top w:w="28" w:type="dxa"/>
          <w:left w:w="28" w:type="dxa"/>
          <w:bottom w:w="28" w:type="dxa"/>
          <w:right w:w="28" w:type="dxa"/>
        </w:tblCellMar>
      </w:tblPr>
      <w:tblGrid>
        <w:gridCol w:w="294"/>
        <w:gridCol w:w="258"/>
        <w:gridCol w:w="25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230"/>
        <w:gridCol w:w="512"/>
        <w:gridCol w:w="129"/>
        <w:gridCol w:w="109"/>
        <w:gridCol w:w="109"/>
        <w:gridCol w:w="109"/>
        <w:gridCol w:w="196"/>
        <w:gridCol w:w="646"/>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Nine Months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Cash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Unamortized Adjustments,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Debt and Other Obligations Outstanding</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Scheduled principal payments and</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final maturities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(a)Predominately consists of outstanding indebtedness under the CP Program as discussed in footnote (h) of the preceding table.</w:t>
      </w:r>
    </w:p>
    <w:p>
      <w:pPr>
        <w:pStyle w:val="TextBody"/>
        <w:bidi w:val="0"/>
        <w:spacing w:before="0" w:after="0"/>
        <w:jc w:val="both"/>
        <w:rPr/>
      </w:pPr>
      <w:r>
        <w:rPr/>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Purchases and Redemptions of Long-Term Debt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purchases and redemptions of long-term debt during the three months ended March 31, 2026.</w:t>
      </w:r>
    </w:p>
    <w:tbl>
      <w:tblPr>
        <w:tblW w:w="5303" w:type="dxa"/>
        <w:jc w:val="left"/>
        <w:tblInd w:w="0" w:type="dxa"/>
        <w:tblLayout w:type="fixed"/>
        <w:tblCellMar>
          <w:top w:w="28" w:type="dxa"/>
          <w:left w:w="28" w:type="dxa"/>
          <w:bottom w:w="28" w:type="dxa"/>
          <w:right w:w="28" w:type="dxa"/>
        </w:tblCellMar>
      </w:tblPr>
      <w:tblGrid>
        <w:gridCol w:w="598"/>
        <w:gridCol w:w="525"/>
        <w:gridCol w:w="527"/>
        <w:gridCol w:w="312"/>
        <w:gridCol w:w="670"/>
        <w:gridCol w:w="173"/>
        <w:gridCol w:w="109"/>
        <w:gridCol w:w="109"/>
        <w:gridCol w:w="109"/>
        <w:gridCol w:w="218"/>
        <w:gridCol w:w="470"/>
        <w:gridCol w:w="121"/>
        <w:gridCol w:w="109"/>
        <w:gridCol w:w="109"/>
        <w:gridCol w:w="109"/>
        <w:gridCol w:w="268"/>
        <w:gridCol w:w="556"/>
        <w:gridCol w:w="211"/>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Cash Paid</w:t>
            </w:r>
            <w:r>
              <w:rPr>
                <w:rFonts w:ascii="Times New Roman;serif" w:hAnsi="Times New Roman;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Gains (Losses)</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4.450% Senior Notes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(a)Exclusive of accrued interest.</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 and Amortization of Deferred Financing Costs, Net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interest expense and amortization of deferred financing costs, net are as follows:</w:t>
      </w:r>
    </w:p>
    <w:tbl>
      <w:tblPr>
        <w:tblW w:w="7917" w:type="dxa"/>
        <w:jc w:val="left"/>
        <w:tblInd w:w="0" w:type="dxa"/>
        <w:tblLayout w:type="fixed"/>
        <w:tblCellMar>
          <w:top w:w="28" w:type="dxa"/>
          <w:left w:w="28" w:type="dxa"/>
          <w:bottom w:w="28" w:type="dxa"/>
          <w:right w:w="28" w:type="dxa"/>
        </w:tblCellMar>
      </w:tblPr>
      <w:tblGrid>
        <w:gridCol w:w="1980"/>
        <w:gridCol w:w="1745"/>
        <w:gridCol w:w="1749"/>
        <w:gridCol w:w="216"/>
        <w:gridCol w:w="465"/>
        <w:gridCol w:w="120"/>
        <w:gridCol w:w="120"/>
        <w:gridCol w:w="120"/>
        <w:gridCol w:w="120"/>
        <w:gridCol w:w="216"/>
        <w:gridCol w:w="465"/>
        <w:gridCol w:w="120"/>
        <w:gridCol w:w="109"/>
        <w:gridCol w:w="109"/>
        <w:gridCol w:w="109"/>
        <w:gridCol w:w="154"/>
      </w:tblGrid>
      <w:tr>
        <w:trPr/>
        <w:tc>
          <w:tcPr>
            <w:tcW w:w="198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 obligations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adjustments on long-term debt</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14 for additional discussion of the Company's debt and other obligations following the completion of the Strategic Fiber Transaction. </w:t>
      </w:r>
    </w:p>
    <w:p>
      <w:pPr>
        <w:pStyle w:val="TextBody"/>
        <w:bidi w:val="0"/>
        <w:spacing w:before="180" w:after="283"/>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6.Fair Value Disclosures</w:t>
      </w:r>
    </w:p>
    <w:tbl>
      <w:tblPr>
        <w:tblW w:w="10205" w:type="dxa"/>
        <w:jc w:val="center"/>
        <w:tblInd w:w="0" w:type="dxa"/>
        <w:tblLayout w:type="fixed"/>
        <w:tblCellMar>
          <w:top w:w="28" w:type="dxa"/>
          <w:left w:w="28" w:type="dxa"/>
          <w:bottom w:w="28" w:type="dxa"/>
          <w:right w:w="28" w:type="dxa"/>
        </w:tblCellMar>
      </w:tblPr>
      <w:tblGrid>
        <w:gridCol w:w="1300"/>
        <w:gridCol w:w="1137"/>
        <w:gridCol w:w="1152"/>
        <w:gridCol w:w="534"/>
        <w:gridCol w:w="534"/>
        <w:gridCol w:w="536"/>
        <w:gridCol w:w="109"/>
        <w:gridCol w:w="109"/>
        <w:gridCol w:w="109"/>
        <w:gridCol w:w="342"/>
        <w:gridCol w:w="538"/>
        <w:gridCol w:w="178"/>
        <w:gridCol w:w="109"/>
        <w:gridCol w:w="109"/>
        <w:gridCol w:w="109"/>
        <w:gridCol w:w="240"/>
        <w:gridCol w:w="406"/>
        <w:gridCol w:w="121"/>
        <w:gridCol w:w="109"/>
        <w:gridCol w:w="109"/>
        <w:gridCol w:w="109"/>
        <w:gridCol w:w="342"/>
        <w:gridCol w:w="538"/>
        <w:gridCol w:w="178"/>
        <w:gridCol w:w="109"/>
        <w:gridCol w:w="109"/>
        <w:gridCol w:w="109"/>
        <w:gridCol w:w="240"/>
        <w:gridCol w:w="406"/>
        <w:gridCol w:w="175"/>
      </w:tblGrid>
      <w:tr>
        <w:trPr/>
        <w:tc>
          <w:tcPr>
            <w:tcW w:w="130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in 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 Value</w:t>
            </w:r>
          </w:p>
        </w:tc>
      </w:tr>
      <w:tr>
        <w:trPr/>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Assets:</w:t>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current and non-current</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debt and other obligations</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cash and cash equivalents and restricted cash and cash equivalents approximate the carrying values.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Since December 31, 2025, there have been no changes in the Company's valuation techniques used to measure fair values.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7.Income Taxes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operates as a REIT for U.S. federal income tax purposes. As a REIT, the Company is generally entitled to a deduction for dividends that it pays and, therefore, is not subject to U.S. federal corporate income tax on its net taxable income that is currently distributed to its stockholders. The Company may be subject to certain federal, state, local and foreign taxes on its income, including (1) taxes on any undistributed income and (2) taxes related to the TRSs. In addition, the Company could, under certain circumstances, be required to pay an excise or penalty tax, which could be significant in amount, in order to utilize one or more relief provisions under the Internal Revenue Code of 1986 ("Code"), as amended, to maintain qualification for taxation as a REIT.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TRS assets and operations will continue to be subject, as applicable, to federal and state corporate income taxes or to foreign taxes in the jurisdictions in which such assets and operations are located. The Company's foreign assets and operations (including its tower operations in Puerto Rico) are subject to foreign income taxes in the jurisdictions in which such assets and operations are located, regardless of whether they are included in a TRS or not.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Company's effective tax rate differed from the federal statutory rate predominately due to the Company's REIT status, including the dividends paid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8.Per Share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net income (loss), per common share, excludes dilution and is computed by dividing net income (loss) by the weighted-average number of common shares outstanding during the period. For the three months ended March 31, 2026 and 2025, diluted net income (loss), per common share, is computed by dividing net income (loss) by the weighted-average number of common shares outstanding during the period, plus any potential dilutive common share equivalents, including shares issuable upon the vesting of restricted stock units ("RSUs") as determined under the treasury stock method.</w:t>
      </w:r>
    </w:p>
    <w:tbl>
      <w:tblPr>
        <w:tblW w:w="9880" w:type="dxa"/>
        <w:jc w:val="center"/>
        <w:tblInd w:w="0" w:type="dxa"/>
        <w:tblLayout w:type="fixed"/>
        <w:tblCellMar>
          <w:top w:w="28" w:type="dxa"/>
          <w:left w:w="28" w:type="dxa"/>
          <w:bottom w:w="28" w:type="dxa"/>
          <w:right w:w="28" w:type="dxa"/>
        </w:tblCellMar>
      </w:tblPr>
      <w:tblGrid>
        <w:gridCol w:w="2626"/>
        <w:gridCol w:w="2309"/>
        <w:gridCol w:w="2325"/>
        <w:gridCol w:w="196"/>
        <w:gridCol w:w="646"/>
        <w:gridCol w:w="109"/>
        <w:gridCol w:w="109"/>
        <w:gridCol w:w="109"/>
        <w:gridCol w:w="109"/>
        <w:gridCol w:w="196"/>
        <w:gridCol w:w="556"/>
        <w:gridCol w:w="109"/>
        <w:gridCol w:w="109"/>
        <w:gridCol w:w="109"/>
        <w:gridCol w:w="109"/>
        <w:gridCol w:w="154"/>
      </w:tblGrid>
      <w:tr>
        <w:trPr/>
        <w:tc>
          <w:tcPr>
            <w:tcW w:w="2626"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 (in millions):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weighted-average number of common stock outstanding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assumed dilution from potential issuance of common shares relating to restricted stock units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weighted-average number of common shares outstanding</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basic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(loss)—basic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diluted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(loss)—diluted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 declared per share of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granted 0.7 million RSUs to the Company's executives and certain other employees. See note 14 for discussion of the Company's 2026 Stock Repurchase Program, as defined therein, following the completion of the Strategic Fiber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9.Commitments and Contingencies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assessments, lawsuits or proceedings arising in the ordinary course of business. While there are uncertainties inherent in the ultimate outcome of such matters and it is impossible to presently determine the ultimate costs or losses that may be incurred, if any, management believes the adverse resolution of such uncertainties and the incurrence of such costs should not have a material adverse effect on the Company's condensed consolidated financial position or results of operations. The Company and certain of its subsidiaries are also contingently liable for commitments or performance guarantees arising in the ordinary course of business, including certain letters of credit or surety bonds. In addition, the Company has the option to purchase approximately 54% of its towers at the end of their respective lease terms. The Company has no obligation to exercise such purchase options.</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12, 2026, the Company delivered a notice of default and termination to DISH relating to the Company's Master Lease Agreement and underlying agreements with DISH as a result of DISH failing to make required payments and defaulting on its obligations under the agreement. As a result of the termination, the Company asserts in the notice that DISH is obligated to pay the Company all remaining payments owed under the agreements, which total in excess of $3.5 billion.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a net balance sheet position of approximately $165 million associated with its terminated agreements with DISH. The Company expects this amount to be ultimately recoverable and, accordingly, no reserves have been recorded as of March 31, 2026. Pending further developments, the Company does not intend to recognize additional revenue under these terminated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10.Equity</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Declaration and Payment of Dividends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following dividends/distributions were declared or paid: </w:t>
      </w:r>
    </w:p>
    <w:tbl>
      <w:tblPr>
        <w:tblW w:w="8878" w:type="dxa"/>
        <w:jc w:val="left"/>
        <w:tblInd w:w="0" w:type="dxa"/>
        <w:tblLayout w:type="fixed"/>
        <w:tblCellMar>
          <w:top w:w="28" w:type="dxa"/>
          <w:left w:w="28" w:type="dxa"/>
          <w:bottom w:w="28" w:type="dxa"/>
          <w:right w:w="28" w:type="dxa"/>
        </w:tblCellMar>
      </w:tblPr>
      <w:tblGrid>
        <w:gridCol w:w="444"/>
        <w:gridCol w:w="390"/>
        <w:gridCol w:w="395"/>
        <w:gridCol w:w="109"/>
        <w:gridCol w:w="109"/>
        <w:gridCol w:w="109"/>
        <w:gridCol w:w="474"/>
        <w:gridCol w:w="474"/>
        <w:gridCol w:w="477"/>
        <w:gridCol w:w="109"/>
        <w:gridCol w:w="109"/>
        <w:gridCol w:w="109"/>
        <w:gridCol w:w="414"/>
        <w:gridCol w:w="414"/>
        <w:gridCol w:w="417"/>
        <w:gridCol w:w="109"/>
        <w:gridCol w:w="109"/>
        <w:gridCol w:w="109"/>
        <w:gridCol w:w="414"/>
        <w:gridCol w:w="414"/>
        <w:gridCol w:w="417"/>
        <w:gridCol w:w="109"/>
        <w:gridCol w:w="109"/>
        <w:gridCol w:w="109"/>
        <w:gridCol w:w="269"/>
        <w:gridCol w:w="887"/>
        <w:gridCol w:w="149"/>
        <w:gridCol w:w="109"/>
        <w:gridCol w:w="109"/>
        <w:gridCol w:w="109"/>
        <w:gridCol w:w="202"/>
        <w:gridCol w:w="434"/>
        <w:gridCol w:w="158"/>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Dividends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Aggregate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Payment </w:t>
            </w:r>
          </w:p>
          <w:p>
            <w:pPr>
              <w:pStyle w:val="TableContents"/>
              <w:bidi w:val="0"/>
              <w:spacing w:lineRule="auto" w:line="240" w:before="0" w:after="0"/>
              <w:jc w:val="center"/>
              <w:rPr/>
            </w:pPr>
            <w:r>
              <w:rPr>
                <w:rFonts w:ascii="Times New Roman;serif" w:hAnsi="Times New Roman;serif"/>
                <w:b/>
                <w:color w:val="000000"/>
                <w:sz w:val="14"/>
              </w:rPr>
              <w:t>Amount</w:t>
            </w:r>
            <w:r>
              <w:rPr>
                <w:rFonts w:ascii="Times New Roman;serif" w:hAnsi="Times New Roman;serif"/>
                <w:b/>
                <w:color w:val="000000"/>
                <w:sz w:val="9"/>
              </w:rPr>
              <w:t>(a)</w:t>
            </w:r>
          </w:p>
        </w:tc>
      </w:tr>
      <w:tr>
        <w:trPr/>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dividends accrued for holders of unvested RSUs, which will be paid when and if the RSUs vest.</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Purchases of the Company's Common Stock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the Company purchased 0.3 million shares of its common stock utilizing $25 million in cash. The shares of common stock purchased relate to shares withheld in connection with the payment of withholding taxes upon vesting of RSUs. See note 14 for discussion of the Company's 2026 Stock Repurchase Program, as defined therein, following the completion of the Strategic Fiber Transaction.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2024 "At-the-Market" Stock Offering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March 2024, the Company established a new "at-the-market" stock offering program through which it may issue and sell shares of its common stock having an aggregate gross sales price of up to $750 million ("2024 ATM Program"). Sales under the 2024 ATM Program may be made by means of ordinary brokers' transactions on the New York Stock Exchange or otherwise at market prices prevailing at the time of sale, at prices related to prevailing market prices or, subject to the Company's specific instructions, at negotiated prices. The Company intends to use the net proceeds from any sales under the 2024 ATM Program for general corporate purposes, which may include (1) the funding of future acquisitions or investments or (2) the repayment or repurchase of any outstanding indebtedness. The Company has not sold any shares of common stock under the 2024 ATM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11.Operating Segment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Reportable Segment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Fiber Business is predominately comprised of the assets that the Company previously reported under the historic Fiber segment. Following the classification of the Fiber Business as discontinued operations, the Company has one reportable segment that constitutes consolidated results consisting of its towers operations. Following the execution of the Strategic Fiber Agreement, the Fiber Business is treated as discontinued operations for all periods presented because the anticipated disposal represents a strategic shift that will have a material impact on the Company's operating results. The determination that the Company operates as a single segment is consistent with the nature of its operations and the financial information regularly reviewed by the Company's President and Chief Executive Officer in such person's capacity as the chief operating decision maker ("CODM").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provides access, including space or capacity, to the Company's approximately 40,000 towers geographically dispersed throughout the U.S. The Company also offers site development services as an ancillary offering relating to its towers.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measurement of profit or loss primarily used by the CODM in making operating decisions, assessing financial performance, and allocating resources is net income (loss).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results, including significant expenses not presented in the condensed consolidated statement of operations comprehensive income (loss), for the three months ended March 31, 2026 and 2025. Since the Company operates as one reportable segment that constitutes consolidated continuing results of operations, there are no reconciling items between segment and consolidated assets or capital expenditures from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8957" w:type="dxa"/>
        <w:jc w:val="left"/>
        <w:tblInd w:w="0" w:type="dxa"/>
        <w:tblLayout w:type="fixed"/>
        <w:tblCellMar>
          <w:top w:w="28" w:type="dxa"/>
          <w:left w:w="28" w:type="dxa"/>
          <w:bottom w:w="28" w:type="dxa"/>
          <w:right w:w="28" w:type="dxa"/>
        </w:tblCellMar>
      </w:tblPr>
      <w:tblGrid>
        <w:gridCol w:w="2271"/>
        <w:gridCol w:w="1993"/>
        <w:gridCol w:w="2006"/>
        <w:gridCol w:w="196"/>
        <w:gridCol w:w="556"/>
        <w:gridCol w:w="109"/>
        <w:gridCol w:w="109"/>
        <w:gridCol w:w="109"/>
        <w:gridCol w:w="109"/>
        <w:gridCol w:w="196"/>
        <w:gridCol w:w="556"/>
        <w:gridCol w:w="109"/>
        <w:gridCol w:w="109"/>
        <w:gridCol w:w="109"/>
        <w:gridCol w:w="109"/>
        <w:gridCol w:w="311"/>
      </w:tblGrid>
      <w:tr>
        <w:trPr/>
        <w:tc>
          <w:tcPr>
            <w:tcW w:w="2271"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revenues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Employee compensation expense</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costs of operations expense</w:t>
            </w:r>
            <w:r>
              <w:rPr>
                <w:rFonts w:ascii="Times New Roman;serif" w:hAnsi="Times New Roman;serif"/>
                <w:b w:val="false"/>
                <w:color w:val="000000"/>
                <w:sz w:val="12"/>
              </w:rPr>
              <w:t>(b)(c)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selling, general and administrative expenses</w:t>
            </w:r>
            <w:r>
              <w:rPr>
                <w:rFonts w:ascii="Times New Roman;serif" w:hAnsi="Times New Roman;serif"/>
                <w:b w:val="false"/>
                <w:color w:val="000000"/>
                <w:sz w:val="12"/>
              </w:rPr>
              <w:t>(d)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Discontinued operations (note 3):</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Gain (loss) from disposal of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(a)$23 million and $24 million are included in "Costs of operations" for the three months ended March 31, 2026 and 2025, respectively, and $60 million and $64 million are included in "Selling, general and administrative" for the three months ended March 31, 2026 and 2025, respectively, on the Company's condensed consolidated statement of operations and comprehensive income (loss).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(b)Exclusive of depreciation, amortization and accretion, shown separately.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(c)Other costs of operations primarily consists of (1) property taxes, (2) repair and maintenance expense, (3) third-party costs related to ancillary services performed and (4) various other insignificant expenses.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(d)Other selling, general and administrative expenses primarily include (1) corporate facilities expense, (2) legal expenses and consulting fees, (3) subscriptions and software costs and (4) other general corporate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12.Supplemental Cash Flow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Company's supplemental cash flow information for continuing operations for the three months ended March 31, 2026 and 2025:</w:t>
      </w:r>
    </w:p>
    <w:tbl>
      <w:tblPr>
        <w:tblW w:w="8368" w:type="dxa"/>
        <w:jc w:val="left"/>
        <w:tblInd w:w="0" w:type="dxa"/>
        <w:tblLayout w:type="fixed"/>
        <w:tblCellMar>
          <w:top w:w="28" w:type="dxa"/>
          <w:left w:w="28" w:type="dxa"/>
          <w:bottom w:w="28" w:type="dxa"/>
          <w:right w:w="28" w:type="dxa"/>
        </w:tblCellMar>
      </w:tblPr>
      <w:tblGrid>
        <w:gridCol w:w="2300"/>
        <w:gridCol w:w="2024"/>
        <w:gridCol w:w="2035"/>
        <w:gridCol w:w="216"/>
        <w:gridCol w:w="464"/>
        <w:gridCol w:w="120"/>
        <w:gridCol w:w="120"/>
        <w:gridCol w:w="120"/>
        <w:gridCol w:w="120"/>
        <w:gridCol w:w="216"/>
        <w:gridCol w:w="464"/>
        <w:gridCol w:w="169"/>
      </w:tblGrid>
      <w:tr>
        <w:trPr/>
        <w:tc>
          <w:tcPr>
            <w:tcW w:w="2300"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payments related to operating lease liabilities</w:t>
            </w:r>
            <w:r>
              <w:rPr>
                <w:rFonts w:ascii="Times New Roman;serif" w:hAnsi="Times New Roman;serif"/>
                <w:b w:val="false"/>
                <w:color w:val="000000"/>
                <w:sz w:val="12"/>
              </w:rPr>
              <w:t>(a)</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operating, investing and financing activities:</w:t>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Right-of-use assets recorded in exchange for operating lease liabilities</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 for purchases of property and equipment</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under finance leases and installment land purchases</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(a)Excludes the Company's contingent payments pursuant to operating leases, which are recorded as expense in the period such contingencies are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reconciliation of cash and cash equivalents and restricted cash and cash equivalents reported within various lines on the condensed consolidated balance sheet to amounts reported in the condensed consolidated statement of cash flows is shown below.</w:t>
      </w:r>
    </w:p>
    <w:tbl>
      <w:tblPr>
        <w:tblW w:w="10205" w:type="dxa"/>
        <w:jc w:val="left"/>
        <w:tblInd w:w="0" w:type="dxa"/>
        <w:tblLayout w:type="fixed"/>
        <w:tblCellMar>
          <w:top w:w="28" w:type="dxa"/>
          <w:left w:w="28" w:type="dxa"/>
          <w:bottom w:w="28" w:type="dxa"/>
          <w:right w:w="28" w:type="dxa"/>
        </w:tblCellMar>
      </w:tblPr>
      <w:tblGrid>
        <w:gridCol w:w="958"/>
        <w:gridCol w:w="815"/>
        <w:gridCol w:w="820"/>
        <w:gridCol w:w="286"/>
        <w:gridCol w:w="617"/>
        <w:gridCol w:w="162"/>
        <w:gridCol w:w="109"/>
        <w:gridCol w:w="109"/>
        <w:gridCol w:w="109"/>
        <w:gridCol w:w="361"/>
        <w:gridCol w:w="609"/>
        <w:gridCol w:w="200"/>
        <w:gridCol w:w="109"/>
        <w:gridCol w:w="109"/>
        <w:gridCol w:w="109"/>
        <w:gridCol w:w="196"/>
        <w:gridCol w:w="421"/>
        <w:gridCol w:w="109"/>
        <w:gridCol w:w="109"/>
        <w:gridCol w:w="109"/>
        <w:gridCol w:w="109"/>
        <w:gridCol w:w="286"/>
        <w:gridCol w:w="617"/>
        <w:gridCol w:w="162"/>
        <w:gridCol w:w="109"/>
        <w:gridCol w:w="109"/>
        <w:gridCol w:w="109"/>
        <w:gridCol w:w="361"/>
        <w:gridCol w:w="609"/>
        <w:gridCol w:w="200"/>
        <w:gridCol w:w="109"/>
        <w:gridCol w:w="109"/>
        <w:gridCol w:w="109"/>
        <w:gridCol w:w="196"/>
        <w:gridCol w:w="421"/>
        <w:gridCol w:w="164"/>
      </w:tblGrid>
      <w:tr>
        <w:trPr/>
        <w:tc>
          <w:tcPr>
            <w:tcW w:w="95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2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Continuing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current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reported within other assets, net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13.Restructuring</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2023 and 2024 Restructuring Plans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previously announced initiatives to improve operational efficiency and align the Company's cost structure, the Company implemented restructuring plans in 2023 and 2024 ("2023 Restructuring Plan", and collectively with the 2024 Restructuring Plan, the "2023 and 2024 Restructuring Plans"). These plans primarily included reducing employee headcount and closing and consolidating certain offices, as well as the discontinuation of installation services as a towers product offering under the 2023 Restructuring Plan.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2023 and 2024 Restructuring Plans included charges related to the (1) employee headcount reduction, including severance, stock-based compensation and other one-time termination benefits and (2) office consolidations and closures, which included remaining obligations under facility leases and non-cash charges for accelerated depreciation. As of March 31, 2026, all actions associated with the 2023 and 2024 Restructuring Plans were completed. No restructuring charges were recognized during the three months ended March 31, 2026 or 2025 related to these plans.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remaining restructuring liability as of March 31, 2026, relates to ongoing lease obligations associated with office consolidations and closures and is expected to be paid through 2033. The following tables summarize the activities related to the 2023 and 2024 Restructuring Plans for the three months ended March 31, 2026 and 2025:</w:t>
      </w:r>
    </w:p>
    <w:tbl>
      <w:tblPr>
        <w:tblW w:w="9504" w:type="dxa"/>
        <w:jc w:val="left"/>
        <w:tblInd w:w="0" w:type="dxa"/>
        <w:tblLayout w:type="fixed"/>
        <w:tblCellMar>
          <w:top w:w="28" w:type="dxa"/>
          <w:left w:w="28" w:type="dxa"/>
          <w:bottom w:w="28" w:type="dxa"/>
          <w:right w:w="28" w:type="dxa"/>
        </w:tblCellMar>
      </w:tblPr>
      <w:tblGrid>
        <w:gridCol w:w="1374"/>
        <w:gridCol w:w="1208"/>
        <w:gridCol w:w="1213"/>
        <w:gridCol w:w="550"/>
        <w:gridCol w:w="1137"/>
        <w:gridCol w:w="308"/>
        <w:gridCol w:w="109"/>
        <w:gridCol w:w="109"/>
        <w:gridCol w:w="109"/>
        <w:gridCol w:w="531"/>
        <w:gridCol w:w="898"/>
        <w:gridCol w:w="296"/>
        <w:gridCol w:w="109"/>
        <w:gridCol w:w="109"/>
        <w:gridCol w:w="109"/>
        <w:gridCol w:w="196"/>
        <w:gridCol w:w="331"/>
        <w:gridCol w:w="109"/>
        <w:gridCol w:w="109"/>
        <w:gridCol w:w="109"/>
        <w:gridCol w:w="109"/>
        <w:gridCol w:w="109"/>
        <w:gridCol w:w="109"/>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Employee Headcount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Office Space Consolidation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the beginning of the respective period</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Charges (credits)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March 31, 2026</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503" w:type="dxa"/>
        <w:jc w:val="left"/>
        <w:tblInd w:w="0" w:type="dxa"/>
        <w:tblLayout w:type="fixed"/>
        <w:tblCellMar>
          <w:top w:w="28" w:type="dxa"/>
          <w:left w:w="28" w:type="dxa"/>
          <w:bottom w:w="28" w:type="dxa"/>
          <w:right w:w="28" w:type="dxa"/>
        </w:tblCellMar>
      </w:tblPr>
      <w:tblGrid>
        <w:gridCol w:w="1374"/>
        <w:gridCol w:w="1208"/>
        <w:gridCol w:w="1213"/>
        <w:gridCol w:w="714"/>
        <w:gridCol w:w="879"/>
        <w:gridCol w:w="401"/>
        <w:gridCol w:w="109"/>
        <w:gridCol w:w="109"/>
        <w:gridCol w:w="109"/>
        <w:gridCol w:w="531"/>
        <w:gridCol w:w="898"/>
        <w:gridCol w:w="296"/>
        <w:gridCol w:w="109"/>
        <w:gridCol w:w="109"/>
        <w:gridCol w:w="109"/>
        <w:gridCol w:w="196"/>
        <w:gridCol w:w="331"/>
        <w:gridCol w:w="109"/>
        <w:gridCol w:w="109"/>
        <w:gridCol w:w="109"/>
        <w:gridCol w:w="109"/>
        <w:gridCol w:w="109"/>
        <w:gridCol w:w="109"/>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Employee Headcount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Office Space Consolidation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the beginning of the respective period</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Charges (credits)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March 31, 2025</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2026 Restructuring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Company initiated a restructuring plan ("2026 Restructuring Plan") as part of its efforts to enhance the efficiency and effectiveness of its tower business by reducing the Company's headcount recorded in continuing operations by approximately 20% along with other headcount realignment actions such as consolidating office space and downsizing certain information technology license-based contracts.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recorded approximately $14 million in charges for the three months ended March 31, 2026, relating to the employee headcount reduction, including severance and other one-time termination benefits. The Company expects to record additional restructuring charges related to the headcount reduction and realignment actions over the remainder of 2026. The actions associated with the 2026 Restructuring Plan and related charges are expected to be substantially completed and recorded by December 31, 2026. The payments are expected to be completed for the employee headcount reduction in 2027.</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related to the 2026 Restructuring Plan for the three months ended March 31, 2026:</w:t>
      </w:r>
    </w:p>
    <w:tbl>
      <w:tblPr>
        <w:tblW w:w="7878" w:type="dxa"/>
        <w:jc w:val="left"/>
        <w:tblInd w:w="0" w:type="dxa"/>
        <w:tblLayout w:type="fixed"/>
        <w:tblCellMar>
          <w:top w:w="28" w:type="dxa"/>
          <w:left w:w="28" w:type="dxa"/>
          <w:bottom w:w="28" w:type="dxa"/>
          <w:right w:w="28" w:type="dxa"/>
        </w:tblCellMar>
      </w:tblPr>
      <w:tblGrid>
        <w:gridCol w:w="1374"/>
        <w:gridCol w:w="1208"/>
        <w:gridCol w:w="1213"/>
        <w:gridCol w:w="632"/>
        <w:gridCol w:w="1311"/>
        <w:gridCol w:w="351"/>
        <w:gridCol w:w="109"/>
        <w:gridCol w:w="109"/>
        <w:gridCol w:w="109"/>
        <w:gridCol w:w="109"/>
        <w:gridCol w:w="109"/>
        <w:gridCol w:w="109"/>
        <w:gridCol w:w="109"/>
        <w:gridCol w:w="109"/>
        <w:gridCol w:w="109"/>
        <w:gridCol w:w="109"/>
        <w:gridCol w:w="109"/>
        <w:gridCol w:w="109"/>
        <w:gridCol w:w="109"/>
        <w:gridCol w:w="109"/>
        <w:gridCol w:w="109"/>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Employee Headcount Reduction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the beginning of the respective period</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Charges (credits)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March 31, 2026</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liability for restructuring charges is included in "Other accrued liabilities" and "Other long-term liabilities" on the condensed consolidated balance sheet, and the corresponding expense is included in "Restructuring charges" on the condensed consolidated statement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14.Subsequent Events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Completion of the Strategic Fiber Transaction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 2026, the Company completed the Strategic Fiber Transaction pursuant to the Strategic Fiber Agreement and received aggregate cash proceeds of $8.4 billion, representing the gross contractual purchase price of $8.5 billion less the net impact of preliminary purchase price adjustments of $124 million, which are subject to a post-closing settlement process. The Company paid associated transaction costs of approximately $74 million at closing, all of which were recorded as of March 31, 2026.</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May 1, 2026, the Company used approximately $3.3 billion of the proceeds from the Strategic Fiber Transaction to repay indebtedness, including all amounts then-outstanding under the 2016 Credit Facility. The Company anticipates using approximately $1.8 billion of the proceeds to repay outstanding Commercial Paper Notes as they mature during the second quarter of 2026. The Company expects to use the remaining proceeds from the Strategic Fiber Transaction for approximately $1.0 billion of share repurchases, as discussed further below, approximately $2.1 billion of additional repayments of indebtedness in 2026, subject to market conditions, and for general corporate purposes.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not recorded any adjustments in the accompanying condensed consolidated financial statements as of, and for the three months, ended March 31, 2026, related to the completion of the Strategic Fiber Transaction. As a result of the completion of the Strategic Fiber Transaction, the Company expects it will record a loss during the quarter ended June 30, 2026, primarily reflecting the impact of: i) the aforementioned preliminary purchase price adjustments, which are subject to a post-closing settlement process; and ii) additional investment in the Fiber Business through April 30, 2026.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2026 Stock Repurchase Program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May 1, 2026, the Company's board of directors authorized a stock repurchase program ("2026 Stock Repurchase Program") that authorizes the Company to repurchase, from time to time, up to $1.0 billion of its outstanding common stock. The 2026 Stock Repurchase Program does not have a fixed expiration date and does not obligate the Company to acquire any specific number of shares. Repurchases may occur through open market transactions, including through plans complying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Rule 10b5</w:t>
        <w:noBreakHyphen/>
        <w:t>1 or Rule 10b</w:t>
        <w:noBreakHyphen/>
        <w:t>18 under the Exchange Act. As of May 5, 2026, the Company had approximately $1.0 billion of authorization remaining under the 2026 Stock Repurchase Program.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2026 Credit Facility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 2026, the Company entered into a credit agreement that provides for a new senior unsecured revolving credit facility with total commitments of $4.5 billion that matures in May 2031 ("2026 Credit Facility"). The financial covenants under the 2026 Credit Facility are substantially similar to the financial covenants under the 2016 Credit Facility, except that (i) the Total Net Leverage Ratio has increased to ≤ 7.0x from ≤ 6.5x and (ii) the Consolidated Interest Coverage Ratio has been removed. In addition, the 2026 Credit Facility does not contemplate upward or downward adjustments to the interest rate spread and the unused commitment fee percentage for achieving or failing to achieve specified annual sustainability targets or thresholds. The 2026 Credit Facility has replaced the 2016 Credit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2.MANAGEMENT'S DISCUSSION AND ANALYSIS OF FINANCIAL CONDITION AND RESULTS OF OPERATIONS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following discussion should be read in conjunction with the response to Part I, Item 1 of this report and the consolidated financial statements of the Company including the related notes and </w:t>
      </w:r>
      <w:r>
        <w:rPr>
          <w:rFonts w:ascii="Times New Roman;serif" w:hAnsi="Times New Roman;serif"/>
          <w:b w:val="false"/>
          <w:i/>
          <w:color w:val="000000"/>
          <w:sz w:val="20"/>
        </w:rPr>
        <w:t>"Item 7. Management's Discussion and Analysis of Financial Condition and Results of Operations"</w:t>
      </w:r>
      <w:r>
        <w:rPr>
          <w:color w:val="000000"/>
        </w:rPr>
        <w:t xml:space="preserve"> </w:t>
      </w:r>
      <w:r>
        <w:rPr>
          <w:rFonts w:ascii="Times New Roman;serif" w:hAnsi="Times New Roman;serif"/>
          <w:b w:val="false"/>
          <w:color w:val="000000"/>
          <w:sz w:val="20"/>
        </w:rPr>
        <w:t>("MD&amp;A")</w:t>
      </w:r>
      <w:r>
        <w:rPr>
          <w:color w:val="000000"/>
        </w:rPr>
        <w:t xml:space="preserve"> </w:t>
      </w:r>
      <w:r>
        <w:rPr>
          <w:rFonts w:ascii="Times New Roman;serif" w:hAnsi="Times New Roman;serif"/>
          <w:b w:val="false"/>
          <w:color w:val="000000"/>
          <w:sz w:val="20"/>
        </w:rPr>
        <w:t>included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General Overview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Overview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own, operate and lease shared communications infrastructure that is geographically dispersed throughout the U.S., including (1) approximately 40,000 towers and other structures, such as rooftops (collectively, "towers"), (2) approximately 105,000 small cell nodes either currently generating revenue or under contract and (3) approximately 90,000 route miles of fiber primarily supporting small cells and fiber solutions. Our towers, small cells and fiber solutions assets are collectively referred to herein as "communications infrastructure," and the Company's customers on its communications infrastructure are referred to herein as "tenants." The Company provides access, including space or capacity, to its communications infrastructure via long-term contracts in various forms, including lease, license, sublease and service agreements (collectively, "tenant contracts").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towers have a significant presence in each of the top 100 basic trading areas, and the majority of our small cells and fiber assets are located in major metropolitan areas, including a presence in most major U.S. markets.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13, 2025, management signed a definitive agreement ("Strategic Fiber Agreement") to sell our small cells and fiber solutions businesses, together with certain supporting assets and personnel ("Fiber Business"), with Zayo Group Holdings Inc. ("Zayo") acquiring the fiber solutions business and EQT Active Core Infrastructure fund ("EQT") acquiring the small cells business ("Strategic Fiber Transaction"). The Strategic Fiber Transaction was completed on May 1, 2026. The Company received aggregate cash proceeds of $8.4 billion, representing the gross contractual purchase price of $8.5 billion less the net impact of preliminary purchase price adjustments of $124 million, which are subject to a post-closing settlement process. See note 14 to our condensed consolidated financial statements for a further discussion of the completion of the Strategic Fiber Transaction.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the Strategic Fiber Transaction represents a material strategic shift for the Company, the Fiber Business' results and net assets are presented herein as discontinued operations for all periods presented. Related to the classification of the Fiber Business as "held for sale", the Company recognized a loss from disposal of discontinued operations of $345 million and $830 million, inclusive of estimated transaction fees, for the three months ended March 31, 2026 and 2025, respectively. Through the completion of the Strategic Fiber Transaction on May 1, 2026, we continued to operate the Fiber Business in accordance with the Strategic Fiber Agreement.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Following the classification of the Fiber Business as discontinued operations, the Company has one reportable segment that constitutes consolidated results consisting of its towers operations. Unless otherwise noted, all activities and amounts reported below relate to the continuing operations of the Company and exclude activities and amounts related to discontinued operations. See notes 3 and 11 to our condensed consolidated financial statements for a discussion of discontinued operations and our operating segment.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Site rental revenues represented 95% of our first quarter 2026 consolidated net revenues. The vast majority of our site rental revenues are of a recurring nature and are derived from long-term tenant contracts.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Strategy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leading provider of towers in the U.S., our strategy is to create long-term stockholder value via a combination of (1) growing cash flows generated from our existing portfolio of towers, (2) returning a meaningful portion of our cash generated by operating activities to our common stockholders in the form of dividends and (3) investing capital efficiently to grow cash flows and long-term dividends per share. Our strategy is based, in part, on our belief that the U.S. is the most attractive market for tower investment with the greatest long-term growth potential. We measure our efforts to create "long-term stockholder value" by the combined payments of dividends to stockholders and growth in our per-share results. The key elements of our strategy are to:</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20"/>
        </w:rPr>
        <w:t xml:space="preserve">Grow cash flows from our existing towers. </w:t>
      </w:r>
      <w:r>
        <w:rPr>
          <w:rFonts w:ascii="Times New Roman;serif" w:hAnsi="Times New Roman;serif"/>
          <w:b w:val="false"/>
          <w:color w:val="000000"/>
          <w:sz w:val="20"/>
        </w:rPr>
        <w:t xml:space="preserve">We are focused on maximizing the recurring site rental cash flows generated from providing our tenants with long-term access to our towers, which we believe is the core driver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value for our stockholders. Tenant additions or modifications of existing tenant equipment (collectively, "tenant additions") enable our tenants to expand coverage and capacity in order to meet increasing demand for data while generating high incremental returns for our business. We believe our towers provide an efficient and cost-effective solution for our wireless tenants' growing networks that provides an opportunity to generate cash flows and increase stockholder return.</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20"/>
        </w:rPr>
        <w:t>Return cash generated by operating activities to stockholders in the form of dividends and share repurchases</w:t>
      </w:r>
      <w:r>
        <w:rPr>
          <w:rFonts w:ascii="Times New Roman;serif" w:hAnsi="Times New Roman;serif"/>
          <w:b w:val="false"/>
          <w:color w:val="000000"/>
          <w:sz w:val="20"/>
        </w:rPr>
        <w:t>. We believe that distributing a meaningful portion of our cash generated by operating activities appropriately provides stockholders with increased certainty for a portion of expected long-term stockholder value while still allowing us to retain sufficient flexibility to invest in our business and deliver growth. We believe this decision reflects the translation of the high-quality, long-term contractual cash flows of our business into stable capital returns to stockholders.</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20"/>
        </w:rPr>
        <w:t>Invest capital efficiently to grow cash flows and long-term dividends per share.</w:t>
      </w:r>
      <w:r>
        <w:rPr>
          <w:color w:val="000000"/>
        </w:rPr>
        <w:t xml:space="preserve"> </w:t>
      </w:r>
      <w:r>
        <w:rPr>
          <w:rFonts w:ascii="Times New Roman;serif" w:hAnsi="Times New Roman;serif"/>
          <w:b w:val="false"/>
          <w:color w:val="000000"/>
          <w:sz w:val="20"/>
        </w:rPr>
        <w:t>In addition to adding tenants to existing towers, we seek to invest our available capital, including the net cash generated by our operating activities and external financing sources, in a manner that will increase long-term stockholder value on a risk-adjusted basis. These investments include constructing and acquiring new towers that we expect will generate future cash flow growth and attractive long-term returns by adding tenants to those assets over time. Our historical investments have included the following (in no particular order):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acquisitions of land interests (which primarily relate to land assets under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construction of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acquisitions of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improvements and structural enhancements to our existing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purchases of shares of our common stock from time to time;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purchases, repayments or redemptions of our debt.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to create long-term stockholder value is based on our belief that there will be considerable future demand for our towers based on the location of our assets and the rapid and continuing growth in the demand for data. We believe that such demand for our towers will continue, will result in growth of our cash flows due to tenant additions on our existing towers, and will create other growth opportunities for us, such as demand for newly constructed or acquired towers, as described above. Further, we seek to augment the long-term value creation associated with growing our recurring site rental cash flows by offering certain ancillary site development services.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Highlights of Business Fundamentals and Results</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We operate as a REIT for U.S. federal income tax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a REIT, we are generally entitled to a deduction for dividends that we pay and, therefore, are not subject to U.S. federal corporate income tax on our net taxable income that is currently distributed to our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remain qualified and be taxed as a REIT, we are generally required to annually distribute to our stockholders at least 90% of our REIT taxable income, after the utilization of our net operating loss carryforwards ("NOLs") (determined without regard to the dividends paid deduction and excluding net capital gain).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See note 7 to our condensed consolidated financial statements for further discussion of our REIT status.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Potential growth resulting from the increasing demand for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expect existing and potential new tenant demand for our towers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(6) the adoption of other bandwidth-intensive applications (such as cloud services, artificial intelligence and video communications), (7) the availability of additional spectrum and (8) increased government initiatives to support connectivity throughout the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expect U.S. wireless carriers will continue to focus on improving network quality and expanding capacity (including through 5G initiatives). We believe our towers provide an efficient and cost-effective solution to our wireless tenants' growing infrastructure needs.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Tenant additions on our towers are achieved at a low incremental operating cost, delivering high incremental returns.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Substantially all of our towers can accommodate additional tenancy, either as currently constructed or with appropriate modifications.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Investing capital efficiently to grow cash flows (see also </w:t>
      </w:r>
      <w:r>
        <w:rPr>
          <w:rFonts w:ascii="Times New Roman;serif" w:hAnsi="Times New Roman;serif"/>
          <w:b w:val="false"/>
          <w:i/>
          <w:color w:val="000000"/>
          <w:sz w:val="20"/>
        </w:rPr>
        <w:t>"Item 2. MD&amp;A—General Overview—Strategy"</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had discretionary capital expenditures of $50 million for the three months ended March 31, 2026. The capital expenditures predominately related to improvements to existing towers to support additional tenants and purchases of land underneath our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expect to continue to construct and acquire new towers that we anticipate will generate future cash flow growth and attractive long-term returns by adding tenants to those assets over time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expect to continue to acquire land interests relating to land under our towers.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Site rental revenues under long-term tenant contracts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tenant contracts have initial terms generally between five to 15 years, with contractual escalators and multiple renewal periods generally between five to 10 years each, exercisable at the option of the tenant.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 of March 31, 2026, our weighted-average remaining term was approximately five years, exclusive of renewals exercisable at the tenants' option, currently representing approximately $23.2 billion of expected future cash inflows, exclusive of amounts due under the Master Lease Agreement and underlying agreements with DISH Wireless L.L.C ("DISH"). See </w:t>
      </w:r>
      <w:r>
        <w:rPr>
          <w:rFonts w:ascii="Times New Roman;serif" w:hAnsi="Times New Roman;serif"/>
          <w:b w:val="false"/>
          <w:i/>
          <w:color w:val="000000"/>
          <w:sz w:val="20"/>
        </w:rPr>
        <w:t>"Item 2. MD&amp;A-General Overview-Outlook Highlights"</w:t>
      </w:r>
      <w:r>
        <w:rPr>
          <w:color w:val="000000"/>
        </w:rPr>
        <w:t xml:space="preserve"> </w:t>
      </w:r>
      <w:r>
        <w:rPr>
          <w:rFonts w:ascii="Times New Roman;serif" w:hAnsi="Times New Roman;serif"/>
          <w:b w:val="false"/>
          <w:color w:val="000000"/>
          <w:sz w:val="20"/>
        </w:rPr>
        <w:t xml:space="preserve">for further discussion.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Majority of our revenues from large wireless carriers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the three months ended March 31, 2026, approximately 93% of our site rental revenues were derived from T-Mobile, AT&amp;T and Verizon Wireless.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Majority of land under our towers under long-term control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 the three months ended March 31, 2026, approximately 90% of our towers Adjusted Site Rental Gross Margin and approximately 80% of our towers Adjusted Site Rental Gross Margin was derived from towers located on land that we own or control for greater than 10 and 20 years, respectively. The aforementioned percentages include towers located on land that is owned, including through fee interests and perpetual easements, which represented approximately 45% of our towers Adjusted Site Rental Gross Margin.</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Minimal sustaining capital expenditure requirements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the three months ended March 31, 2026, sustaining capital expenditures represented less than 1% of net revenues.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Debt portfolio with long-dated maturities extended over multiple years, with the vast majority of such debt having a fixed rate (see note 5 to our condensed consolidated financial statements and </w:t>
      </w:r>
      <w:r>
        <w:rPr>
          <w:rFonts w:ascii="Times New Roman;serif" w:hAnsi="Times New Roman;serif"/>
          <w:b w:val="false"/>
          <w:i/>
          <w:color w:val="000000"/>
          <w:sz w:val="20"/>
        </w:rPr>
        <w:t>"Item 3. Quantitative and Qualitative Disclosures About Market Risk"</w:t>
      </w:r>
      <w:r>
        <w:rPr>
          <w:color w:val="000000"/>
        </w:rPr>
        <w:t xml:space="preserve"> </w:t>
      </w:r>
      <w:r>
        <w:rPr>
          <w:rFonts w:ascii="Times New Roman;serif" w:hAnsi="Times New Roman;serif"/>
          <w:b w:val="false"/>
          <w:color w:val="000000"/>
          <w:sz w:val="20"/>
        </w:rPr>
        <w:t xml:space="preserve">for a further discussion of our debt)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 of March 31, 2026, our outstanding debt had a weighted-average interest rate of 3.9% and weighted-average maturity of approximately six years (assuming the anticipated repayment date in July 2028 on the $750 million aggregate principal amount of 4.241% senior secured tower revenue notes ("Tower Revenue Notes, Series 2018-2").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of March 31, 2026, 79% of our debt had fixed rate coupons.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debt service coverage and leverage ratios are within their respective financial maintenance covenants.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During 2026, we completed the following financing activities (see note 5 to our condensed consolidated financial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February 2026, we repaid in full the $900 million aggregate principal amount of 4.450% senior unsecured notes on the contractual maturity 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Subsequent to March 31, 2026, we used a portion of the cash proceeds received from the completion of the Strategic Fiber Transaction on May 1, 2026 to repay outstanding indebtedness, including all amounts outstanding under the 2016 Revolver and 2016 Term Loan A (collectively, the "2016 Credit Facility") and anticipate using a portion of the proceeds to repay all Commercial Paper Notes outstanding as they mature throughout the second quarter of 2026. In addition, the Company entered into a new senior unsecured revolving credit facility with total commitments of $4.5 billion ("2026 Credit Facility"), which replaced the 2016 Credit Facility. See note 14 to our condensed consolidated financial statements.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Significant cash flows from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cash provided by operating activities was $509 million for the three months ended March 31,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addition to the positive impact of contractual escalators, we expect to grow our core business of providing access to our towers as a result of future anticipated additional demand.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Returning cash flows provided by operations to stockholders in the form of dividends and share repurchases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the first quarter of 2026, we paid a common stock dividend of $1.0625 per share, totaling approximately $473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we grow cash flows, we expect to increase our dividend per share. See note 10 to our condensed consolidated financial statements for further information regarding our common stock and dividends.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Restructuring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were no restructuring charges in 2026 relating to either restructuring plan implemented in 2023 ("2023 Restructuring Plan") or 2024 ("2024 Restructuring Plan", collectively the "2023 and 2024 Restructuring Plans"). See note 13 to our condensed consolidated financial statements for further discussion of the 2023 and 2024 Restructuring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On February 4, 2026, we initiated a restructuring plan ("2026 Restructuring Plan") as part of our efforts to enhance the efficiency and effectiveness of our tower business by reducing our headcount in continuing operations. We recorded approximately $14 million in charges for the three months ended March 31, 2026, relating to the employee headcount reduction, including severance and other one-time termination benefits. The actions associated with the 2026 Restructuring Plan and related charges are expected to be substantially completed and recorded by December 31, 2026. The payments are expected to be completed for the employee headcount reduction in 2027. See note 13 to our condensed consolidated financial statements and </w:t>
      </w:r>
      <w:r>
        <w:rPr>
          <w:rFonts w:ascii="Times New Roman;serif" w:hAnsi="Times New Roman;serif"/>
          <w:b w:val="false"/>
          <w:i/>
          <w:color w:val="000000"/>
          <w:sz w:val="20"/>
        </w:rPr>
        <w:t>"Item 2. MD&amp;A—Results of Operations"</w:t>
      </w:r>
      <w:r>
        <w:rPr>
          <w:color w:val="000000"/>
        </w:rPr>
        <w:t xml:space="preserve"> </w:t>
      </w:r>
      <w:r>
        <w:rPr>
          <w:rFonts w:ascii="Times New Roman;serif" w:hAnsi="Times New Roman;serif"/>
          <w:b w:val="false"/>
          <w:color w:val="000000"/>
          <w:sz w:val="20"/>
        </w:rPr>
        <w:t>for further discussion of the 2026 Restructuring Plan.</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Outlook Highlights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are certain highlights of our outlook that impact our business fundamentals described above.</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 January 2026, we delivered a notice of default and termination to DISH relating to our Master Lease Agreement and underlying agreements with DISH as a result of DISH failing to make required payments and defaulting on its obligations under the agreements ("DISH Terminations"). As a result of the termination, we assert in the notice that DISH owes us all remaining payments under the agreements, which total in excess of $3.5 billion. Our 2026 Outlook does not include any contributions from DISH.</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expect a year over year reduction in site rental revenues related to (1) approximately $220 million from the aforementioned DISH termination, and (2) a decline in long-term deferred revenue amortization.</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 February 2026, we initiated the 2026 Restructuring Plan as part of our efforts to enhance the efficiency and effectiveness of our tower business.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expect to realize approximately $65 million annualized run-rate savings in operating costs, of which approximately $55 million will be realized in 2026 due to timing. The remaining savings of approximately $10 million will be realized in 2027. We expect to incur aggregate restructuring charges of approximately $30 million in 2026 as a result of the 2026 Restructuring Plan, most of which we expect to incur in the first and second quarters of 2026.</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Following the completion of the Strategic Fiber Transaction on May 1, 2026, we used a portion of the proceeds received from the sale to repay outstanding indebtedness, including all amounts outstanding under our 2016 Credit Facility. We also anticipate using approximately $1.8 billion of the proceeds to repay outstanding Commercial Paper Notes as they mature during the second quarter of 2026. We expect to use the remaining proceeds from the Strategic Fiber Transaction for approximately $1.0 billion of share repurchases under the 2026 Stock Repurchase Program, as defined below, and an additional approximately $2.1 billion of repayments of indebtedness in 2026, subject to market conditions. As a result of the completed and anticipated repayments of indebtedness, our 2026 interest expense is expected to decrease compared to 2025.</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Effective May 1, 2026, our board of directors authorized a stock repurchase program ("2026 Stock Repurchase Program") that authorizes the repurchase, from time to time, of up to $1.0 billion of our outstanding common stock. The 2026 Stock Repurchase Program does not have a fixed expiration date and does not obligate the Company to acquire any specific number of shares. Repurchases may occur through open market transactions, including through plans complying with Rule 10b5</w:t>
        <w:noBreakHyphen/>
        <w:t>1 or Rule 10b</w:t>
        <w:noBreakHyphen/>
        <w:t xml:space="preserve">18 under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our results of operations should be read in conjunction with our condensed consolidated financial statements and the 2025 Form 10-K.</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following discussion of our results of operations is based on our condensed consolidated financial statements prepared in accordance with GAAP, which requires us to make estimates and judgments that affect the reported amounts (see </w:t>
      </w:r>
      <w:r>
        <w:rPr>
          <w:rFonts w:ascii="Times New Roman;serif" w:hAnsi="Times New Roman;serif"/>
          <w:b w:val="false"/>
          <w:i/>
          <w:color w:val="000000"/>
          <w:sz w:val="20"/>
        </w:rPr>
        <w:t xml:space="preserve">"Item 2. MD&amp;A—Accounting and Reporting Matters—Critical Accounting Policies and Estimates" </w:t>
      </w:r>
      <w:r>
        <w:rPr>
          <w:rFonts w:ascii="Times New Roman;serif" w:hAnsi="Times New Roman;serif"/>
          <w:b w:val="false"/>
          <w:color w:val="000000"/>
          <w:sz w:val="20"/>
        </w:rPr>
        <w:t xml:space="preserve">and note 2 to our consolidated financial statements in the 2025 Form 10-K). See </w:t>
      </w:r>
      <w:r>
        <w:rPr>
          <w:rFonts w:ascii="Times New Roman;serif" w:hAnsi="Times New Roman;serif"/>
          <w:b w:val="false"/>
          <w:i/>
          <w:color w:val="000000"/>
          <w:sz w:val="20"/>
        </w:rPr>
        <w:t>"Item 2. MD&amp;A—Accounting and Reporting Matters—Non-GAAP Financial Measures"</w:t>
      </w:r>
      <w:r>
        <w:rPr>
          <w:color w:val="000000"/>
        </w:rPr>
        <w:t xml:space="preserve"> </w:t>
      </w:r>
      <w:r>
        <w:rPr>
          <w:rFonts w:ascii="Times New Roman;serif" w:hAnsi="Times New Roman;serif"/>
          <w:b w:val="false"/>
          <w:color w:val="000000"/>
          <w:sz w:val="20"/>
        </w:rPr>
        <w:t>for a discussion of our use of (1) Adjusted EBITDA, (2) Adjusted Site Rental Gross Margin and (3) Adjusted Services and Other Gross Margin, including their respective definitions and reconciliations to net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Fiber Business is predominately comprised of the assets that we previously reported under the historic Fiber segment. Following the classification of the Fiber Business as discontinued operations, we have one reportable segment that constitutes consolidated results consisting of our towers operations. Following the execution of the Strategic Fiber Agreement, the Fiber Business is treated as discontinued operations for all periods presented, because the anticipated disposal represents a strategic shift that will have a material impact on our operating results. As such, the results for all periods presented reflect the Fiber Business as discontinued operations. See note 11 to our condensed consolidated financial statements for further discussion of our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Highlights of our results of operations for the three months ended March 31, 2026 and 2025 are depicted below.</w:t>
      </w:r>
    </w:p>
    <w:p>
      <w:pPr>
        <w:pStyle w:val="TextBody"/>
        <w:bidi w:val="0"/>
        <w:spacing w:before="180" w:after="283"/>
        <w:jc w:val="center"/>
        <w:rPr/>
      </w:pPr>
      <w:r>
        <w:rPr/>
      </w:r>
    </w:p>
    <w:tbl>
      <w:tblPr>
        <w:tblW w:w="7402" w:type="dxa"/>
        <w:jc w:val="left"/>
        <w:tblInd w:w="0" w:type="dxa"/>
        <w:tblLayout w:type="fixed"/>
        <w:tblCellMar>
          <w:top w:w="28" w:type="dxa"/>
          <w:left w:w="28" w:type="dxa"/>
          <w:bottom w:w="28" w:type="dxa"/>
          <w:right w:w="28" w:type="dxa"/>
        </w:tblCellMar>
      </w:tblPr>
      <w:tblGrid>
        <w:gridCol w:w="1212"/>
        <w:gridCol w:w="1067"/>
        <w:gridCol w:w="1080"/>
        <w:gridCol w:w="218"/>
        <w:gridCol w:w="218"/>
        <w:gridCol w:w="218"/>
        <w:gridCol w:w="218"/>
        <w:gridCol w:w="218"/>
        <w:gridCol w:w="218"/>
        <w:gridCol w:w="218"/>
        <w:gridCol w:w="218"/>
        <w:gridCol w:w="218"/>
        <w:gridCol w:w="109"/>
        <w:gridCol w:w="109"/>
        <w:gridCol w:w="109"/>
        <w:gridCol w:w="220"/>
        <w:gridCol w:w="220"/>
        <w:gridCol w:w="221"/>
        <w:gridCol w:w="109"/>
        <w:gridCol w:w="109"/>
        <w:gridCol w:w="109"/>
        <w:gridCol w:w="224"/>
        <w:gridCol w:w="224"/>
        <w:gridCol w:w="318"/>
      </w:tblGrid>
      <w:tr>
        <w:trPr/>
        <w:tc>
          <w:tcPr>
            <w:tcW w:w="121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3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w:t>
            </w:r>
          </w:p>
        </w:tc>
        <w:tc>
          <w:tcPr>
            <w:tcW w:w="1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$961</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151</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(a)</w:t>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675</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Site Rental Gross Margin</w:t>
            </w:r>
            <w:r>
              <w:rPr>
                <w:rFonts w:ascii="Times New Roman;serif" w:hAnsi="Times New Roman;serif"/>
                <w:b w:val="false"/>
                <w:color w:val="000000"/>
                <w:sz w:val="12"/>
              </w:rPr>
              <w:t>(a)</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725</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Services and Other Gross Margin</w:t>
            </w:r>
            <w:r>
              <w:rPr>
                <w:rFonts w:ascii="Times New Roman;serif" w:hAnsi="Times New Roman;serif"/>
                <w:b w:val="false"/>
                <w:color w:val="000000"/>
                <w:sz w:val="12"/>
              </w:rPr>
              <w:t>(a)</w:t>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(a)See reconciliations of these non-GAAP financial measures to Net income (loss) and definitions included in </w:t>
      </w:r>
      <w:r>
        <w:rPr>
          <w:rFonts w:ascii="Times New Roman;serif" w:hAnsi="Times New Roman;serif"/>
          <w:b w:val="false"/>
          <w:i/>
          <w:color w:val="000000"/>
          <w:sz w:val="16"/>
        </w:rPr>
        <w:t>"Item 2. MD&amp;A—Accounting and Reporting Matters—Non-GAAP Financial Measures."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Site rental revenues decreased $50 million, or 5%, for the three months ended March 31, 2026 compared to the three months ended March 31, 2025. This decrease was predominately comprised of the factors depicted in the chart below:</w:t>
      </w:r>
    </w:p>
    <w:p>
      <w:pPr>
        <w:pStyle w:val="TextBody"/>
        <w:bidi w:val="0"/>
        <w:spacing w:before="180" w:after="283"/>
        <w:jc w:val="center"/>
        <w:rPr/>
      </w:pPr>
      <w:r>
        <w:rPr/>
      </w:r>
    </w:p>
    <w:p>
      <w:pPr>
        <w:pStyle w:val="TextBody"/>
        <w:bidi w:val="0"/>
        <w:spacing w:lineRule="auto" w:line="288" w:before="18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of dollars)</w:t>
      </w:r>
    </w:p>
    <w:p>
      <w:pPr>
        <w:pStyle w:val="TextBody"/>
        <w:bidi w:val="0"/>
        <w:spacing w:before="180" w:after="283"/>
        <w:jc w:val="center"/>
        <w:rPr/>
      </w:pPr>
      <w:r>
        <w:rPr/>
        <w:drawing>
          <wp:inline distT="0" distB="0" distL="0" distR="0">
            <wp:extent cx="6496050" cy="320040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6496050" cy="3200400"/>
                    </a:xfrm>
                    <a:prstGeom prst="rect">
                      <a:avLst/>
                    </a:prstGeom>
                  </pic:spPr>
                </pic:pic>
              </a:graphicData>
            </a:graphic>
          </wp:inline>
        </w:drawing>
      </w:r>
      <w:bookmarkStart w:id="1" w:name="i-2"/>
      <w:bookmarkEnd w:id="1"/>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(a)Represents site rental revenues growth from tenant additions and renewals or extensions of tenant contracts, exclusive of the impacts from both straight-line accounting and amortization of prepaid rent, in accordance with GAAP.</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$49 million of non-renewals associated with DISH Terminations and $5 million of non-renewals related to Sprint Cancellations.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(c)Includes the growth or reduction in site rental revenues as a result of non-recurring contractual billings and adjustments, expense recoveries, sales credits and other amounts not captured in core leasing activity.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(d)Prepaid rent amortization includes amortization of upfront payments received from long-term tenants and other deferred credits.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Site rental revenues and Adjusted Site Rental Gross Margin for the first quarter of 2026 were $1.0 billion and $725 million, respectively, compared to $1.0 billion and $776 million, respectively, in the same period in the prior year. The decrease of $50 million and $51 million in site rental revenue and Adjusted Site Rental Gross Margin, respectively, was primarily due to non-renewals associated with the DISH Terminations and Sprint Cancellations, as new leasing activity and contractual cash escalators were substantially offset by a decline in the associated straight-line accounting adjustment and a decrease in prepaid rent amortization.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Services and Other Gross Margin was $24 million for the first quarter of 2026 and increased by $2 million from $22 million during the same period in the prior year, which is predominately a reflection of the volume of activity from carriers' network enhancements and the volume and mix of services and other offerings. Our services and other offerings are of a variable nature as these revenues are not under long-term tenant contracts.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first quarter of 2026 were $90 million and decreased by $3 million, or 3%, from $93 million during the same period in the prior year, primarily related to certain employee-related costs following the 2026 Restructuring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was $172 million for first quarter of 2026 and decreased by $5 million, or 3%, from the same period in the prior year. This decrease predominately resulted from certain fixed assets becoming fully depreciated.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Restructuring charges in connection with the 2026 Restructuring Plan were $14 million for the first quarter of 2026. See note 13 to our condensed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and amortization of deferred financing costs, net were $242 million for the first quarter of 2026 and increased by $6 million, or 3%, from $236 million during the same period in the prior year. The increase predominately resulted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t xml:space="preserve">from an increase in our outstanding indebtedness due to the financing of our discretionary capital expenditures, including those presented within discontinued operations. See note 5 to our condensed consolidated financial statements for a further discussion of our debt and </w:t>
      </w:r>
      <w:r>
        <w:rPr>
          <w:rFonts w:ascii="Times New Roman;serif" w:hAnsi="Times New Roman;serif"/>
          <w:b w:val="false"/>
          <w:i/>
          <w:color w:val="000000"/>
          <w:sz w:val="20"/>
        </w:rPr>
        <w:t>"Item 3. Quantitative and Qualitative Disclosures About Market Risk"</w:t>
      </w:r>
      <w:r>
        <w:rPr>
          <w:color w:val="000000"/>
        </w:rPr>
        <w:t xml:space="preserve"> </w:t>
      </w:r>
      <w:r>
        <w:rPr>
          <w:rFonts w:ascii="Times New Roman;serif" w:hAnsi="Times New Roman;serif"/>
          <w:b w:val="false"/>
          <w:color w:val="000000"/>
          <w:sz w:val="20"/>
        </w:rPr>
        <w:t>for a further discussion of our interest rate exposure.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was $5 million for the first quarter for both 2026 and 2025. For the first quarter 2026 and 2025, the effective tax rate differs from the federal statutory rate predominately due to our REIT status, including the dividends paid deduction. See note 7 to our condensed consolidated financial statements and also note 10 to our consolidated financial statements in the 2025 Form 10-K.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(loss) from continuing operations was $220 million for the first quarter of 2026 and decreased by $64 million, or 23% from $284 million during the same period in the prior year. This decrease was due primarily to the aforementioned decrease in Adjusted Site Rental Gross Margin, increase in interest expense and amortization of deferred financing costs, net and the restructuring charges associated with the 2026 Restructuring Plan, being partially offset by the aforementioned decreases in depreciation, amortization, and accretion expense and selling, general and administrative expenses during the three months ended March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gain (loss) from disposal, net of tax, was $276 million for the first quarter of 2026 and increased by $194 million, from $82 million during the first quarter of 2025. The increase was primarily related to a $204 million decrease in depreciation, amortization and accretion related to the cessation of depreciation and amortization of the Fiber Business long-lived assets classified as "held for sale."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(loss) from disposal of discontinued operations was $(345) million for the first quarter of 2026 compared to $(830) million for the first quarter of 2025. The loss recorded for the first quarter of 2025 primarily represents the initial excess of the carrying value of the Fiber Business over the purchase price, less estimated costs to sell. The loss recorded for the first quarter of 2026 is predominately attributable to additional investment in the Fiber Business during the quarter.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(loss) was $151 million for the first quarter of 2026 compared to $(464) million during the first quarter of 2025. The increase was primarily due to the income (loss) from discontinued operations, net of tax, being partially offset income (loss) from continuing operations, both of which are discussed above.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EBITDA decreased by $47 million, or 7%, from the first quarter of 2025 to the first quarter of 2026, reflecting the aforementioned decrease in Adjusted Site Rental Gross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Overview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General. </w:t>
      </w:r>
      <w:r>
        <w:rPr>
          <w:rFonts w:ascii="Times New Roman;serif" w:hAnsi="Times New Roman;serif"/>
          <w:b w:val="false"/>
          <w:color w:val="000000"/>
          <w:sz w:val="20"/>
        </w:rPr>
        <w:t xml:space="preserve">Our core business generates revenues under long-term tenant contracts (see </w:t>
      </w:r>
      <w:r>
        <w:rPr>
          <w:rFonts w:ascii="Times New Roman;serif" w:hAnsi="Times New Roman;serif"/>
          <w:b w:val="false"/>
          <w:i/>
          <w:color w:val="000000"/>
          <w:sz w:val="20"/>
        </w:rPr>
        <w:t>"Item 2. MD&amp;A—General Overview—Overview"</w:t>
      </w:r>
      <w:r>
        <w:rPr>
          <w:rFonts w:ascii="Times New Roman;serif" w:hAnsi="Times New Roman;serif"/>
          <w:b w:val="false"/>
          <w:color w:val="000000"/>
          <w:sz w:val="20"/>
        </w:rPr>
        <w:t>) from the largest U.S. wireless carriers and other tenants. As a leading provider of towers in the U.S., our strategy is to create long-term stockholder value via a combination of (1) growing cash flows generated from our existing towers, (2) returning a meaningful portion of our cash generated by operating activities to our stockholders in the form of dividends and share repurchases, and (3) investing capital efficiently to grow cash flows and long-term dividends per share. Our strategy is based, in part, on our belief that the U.S. is the most attractive market for towers investment with the greatest long-term growth potential. We measure our efforts to create "long-term stockholder value" by the growth in our per share results.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have engaged, and expect to continue to engage, in discretionary investments that we believe will maximize long-term stockholder value. These investments include the acquisition of land interests, making improvements and structural enhancements to our existing towers, and constructing and acquiring new towers that we expect will generate future cash flow growth and attractive long-term returns by adding tenants to those assets over time. Prior to the completion of the Strategic Fiber Transaction on May 1, 2026, we invested a significant percentage of our discretionary investments in the Fiber Business. See notes 3 and 14 to our condensed consolidated financial statements and </w:t>
      </w:r>
      <w:r>
        <w:rPr>
          <w:rFonts w:ascii="Times New Roman;serif" w:hAnsi="Times New Roman;serif"/>
          <w:b w:val="false"/>
          <w:i/>
          <w:color w:val="000000"/>
          <w:sz w:val="20"/>
        </w:rPr>
        <w:t xml:space="preserve">"Item 2. MD&amp;A—General Overview" </w:t>
      </w:r>
      <w:r>
        <w:rPr>
          <w:rFonts w:ascii="Times New Roman;serif" w:hAnsi="Times New Roman;serif"/>
          <w:b w:val="false"/>
          <w:color w:val="000000"/>
          <w:sz w:val="20"/>
        </w:rPr>
        <w:t xml:space="preserve">for further discussion of the sale of the Fiber Business. We seek to fund our discretionary investments with both cash generated by operating activities and cash available from financing capacity, such as the use of our availability under our senior unsecured revolving credit facility ("2016 Revolver"), issuances under our commercial paper program ("CP Program"), debt financings and issuances of equity or equity-related securities, including under our 2024 ATM Program. On May 1, 2026, we entered into the 2026 Credit Facility, which replaced the 2016 Credit Facility. See note 14 to our condensed consolidated financial statements and </w:t>
      </w:r>
      <w:r>
        <w:rPr>
          <w:rFonts w:ascii="Times New Roman;serif" w:hAnsi="Times New Roman;serif"/>
          <w:b w:val="false"/>
          <w:i/>
          <w:color w:val="000000"/>
          <w:sz w:val="20"/>
        </w:rPr>
        <w:t>Item 2. MD&amp;A-General Overview</w:t>
      </w:r>
      <w:r>
        <w:rPr>
          <w:color w:val="000000"/>
        </w:rPr>
        <w:t xml:space="preserve"> </w:t>
      </w:r>
      <w:r>
        <w:rPr>
          <w:rFonts w:ascii="Times New Roman;serif" w:hAnsi="Times New Roman;serif"/>
          <w:b w:val="false"/>
          <w:color w:val="000000"/>
          <w:sz w:val="20"/>
        </w:rPr>
        <w:t>for additional discussion of the 2026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seek to maintain a capital structure that we believe drives long-term stockholder value and optimizes our weighted-average cost of capital, and we expect to maintain an investment grade credit profile. As of March 31, 2026, our contractual debt maturities over the next 12 months, consisted of (1) short-term, unsecured commercial paper notes ("Commercial Paper Notes"), of which we had $1.5 billion outstanding as of May 5, 2026, (2) the 3.700% senior unsecured notes due June 2026 ("3.700% Senior Notes"), (3) the 1.050% senior unsecured notes due July 2026 ("1.050% Senior Notes"), the 4.000% senior unsecured notes due March 2027 ("4.000% Senior Notes"), the 2.900% senior unsecured notes due March 2027 ("2.900% Senior Notes") and (4) principal payments on certain outstanding debt. In connection with the completion of the Strategic Fiber Transaction on May 1, 2026, we repaid all amounts outstanding under the 2016 Credit Facility. We also intend to use a portion of the proceeds from the Strategic Fiber Transaction to repay all Commercial Paper Notes outstanding as they mature in the second quarter of 2026. Amounts available under our CP Program may be repaid and re-issued from time to time and we intend to maintain available commitments under our 2016 Revolver, and will continue to maintain available commitments under our 2026 Credit Facility subsequent to May 1, 2026, in an amount at least equal to the amount of Commercial Paper Notes outstanding.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operate as a REIT for U.S. federal income tax purposes. We expect to continue to pay minimal cash income taxes as a result of our REIT status and our NOLs. See note 7 to our condensed consolidated financial statements and also the 2025 Form 10-K.</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Liquidity Position. </w:t>
      </w:r>
      <w:r>
        <w:rPr>
          <w:rFonts w:ascii="Times New Roman;serif" w:hAnsi="Times New Roman;serif"/>
          <w:b w:val="false"/>
          <w:color w:val="000000"/>
          <w:sz w:val="20"/>
        </w:rPr>
        <w:t xml:space="preserve">The following is a summary of our capitalization and liquidity position as of March 31, 2026. See </w:t>
      </w:r>
      <w:r>
        <w:rPr>
          <w:rFonts w:ascii="Times New Roman;serif" w:hAnsi="Times New Roman;serif"/>
          <w:b w:val="false"/>
          <w:i/>
          <w:color w:val="000000"/>
          <w:sz w:val="20"/>
        </w:rPr>
        <w:t>"Item 3. Quantitative and Qualitative Disclosures About Market Risk"</w:t>
      </w:r>
      <w:r>
        <w:rPr>
          <w:color w:val="000000"/>
        </w:rPr>
        <w:t xml:space="preserve"> </w:t>
      </w:r>
      <w:r>
        <w:rPr>
          <w:rFonts w:ascii="Times New Roman;serif" w:hAnsi="Times New Roman;serif"/>
          <w:b w:val="false"/>
          <w:color w:val="000000"/>
          <w:sz w:val="20"/>
        </w:rPr>
        <w:t xml:space="preserve">and note 5 to our condensed consolidated financial statements for additional information regarding our debt as well as note 10 to our condensed consolidated financial statements for additional information regarding our 2024 ATM Program. </w:t>
      </w:r>
    </w:p>
    <w:tbl>
      <w:tblPr>
        <w:tblW w:w="6018" w:type="dxa"/>
        <w:jc w:val="left"/>
        <w:tblInd w:w="0" w:type="dxa"/>
        <w:tblLayout w:type="fixed"/>
        <w:tblCellMar>
          <w:top w:w="28" w:type="dxa"/>
          <w:left w:w="28" w:type="dxa"/>
          <w:bottom w:w="28" w:type="dxa"/>
          <w:right w:w="28" w:type="dxa"/>
        </w:tblCellMar>
      </w:tblPr>
      <w:tblGrid>
        <w:gridCol w:w="1803"/>
        <w:gridCol w:w="1586"/>
        <w:gridCol w:w="1591"/>
        <w:gridCol w:w="264"/>
        <w:gridCol w:w="567"/>
        <w:gridCol w:w="207"/>
      </w:tblGrid>
      <w:tr>
        <w:trPr/>
        <w:tc>
          <w:tcPr>
            <w:tcW w:w="180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60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and cash equivalents and restricted cash and cash equivalents</w:t>
            </w:r>
            <w:r>
              <w:rPr>
                <w:rFonts w:ascii="Times New Roman;serif" w:hAnsi="Times New Roman;serif"/>
                <w:b w:val="false"/>
                <w:color w:val="000000"/>
                <w:sz w:val="12"/>
              </w:rPr>
              <w:t>(a)</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Undrawn 2016 Revolver availability</w:t>
            </w:r>
            <w:r>
              <w:rPr>
                <w:rFonts w:ascii="Times New Roman;serif" w:hAnsi="Times New Roman;serif"/>
                <w:b w:val="false"/>
                <w:color w:val="000000"/>
                <w:sz w:val="12"/>
              </w:rPr>
              <w:t>(b)</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other long-term obligations (current and non-current)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equity (deficit)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$5 million included within "Other assets, net" on our condensed consolidated balance sheet.</w:t>
      </w:r>
    </w:p>
    <w:p>
      <w:pPr>
        <w:pStyle w:val="TextBody"/>
        <w:bidi w:val="0"/>
        <w:spacing w:lineRule="auto" w:line="288" w:before="0" w:after="0"/>
        <w:ind w:left="0" w:right="0" w:hanging="360"/>
        <w:jc w:val="both"/>
        <w:rPr/>
      </w:pPr>
      <w:r>
        <w:rPr>
          <w:rFonts w:ascii="Times New Roman;serif" w:hAnsi="Times New Roman;serif"/>
          <w:b w:val="false"/>
          <w:color w:val="000000"/>
          <w:sz w:val="16"/>
        </w:rPr>
        <w:t>(b)Availability at any point in time is subject to certain restrictions based on the maintenance of financial covenants contained in our 2016 Credit Facility, and subsequent to May 1, 2026, the maintenance of financial covenants contained in our 2026 Credit Facility. See the</w:t>
      </w:r>
      <w:r>
        <w:rPr>
          <w:color w:val="000000"/>
        </w:rPr>
        <w:t xml:space="preserve"> </w:t>
      </w:r>
      <w:r>
        <w:rPr>
          <w:rFonts w:ascii="Times New Roman;serif" w:hAnsi="Times New Roman;serif"/>
          <w:b w:val="false"/>
          <w:color w:val="000000"/>
          <w:sz w:val="16"/>
        </w:rPr>
        <w:t>2025 Form 10-K. At any point in time, we intend to maintain available commitments under our 2016 Revolver, and will continue to maintain available commitments under our 2026 Credit Facility subsequent to May 1, 2026, in an amount at least equal to the amount of outstanding Commercial Paper Notes. See note 5 to our condensed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over the next 12 months: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Following the completion of the Strategic Fiber Transaction on May 1, 2026, the Company used approximately $3.3 billion of the cash proceeds from the Strategic Fiber Transaction to repay indebtedness, including all amounts then-outstanding under the 2016 Credit Facility. The Company anticipates using approximately $1.8 billion of the proceeds to repay outstanding Commercial Paper Notes as they mature during the second quarter of 2026. We expect to use the remaining proceeds from the Strategic Fiber Transaction for approximately $1.0 billion of share repurchases under the 2026 Stock Repurchase Program authorized by the board of directors on May 1, 2026, and approximately $2.1 billion of additional repayments of indebtedness over the remainder of 2026, subject to market conditions, and for general corporate purposes.</w:t>
      </w:r>
    </w:p>
    <w:p>
      <w:pPr>
        <w:pStyle w:val="TextBody"/>
        <w:bidi w:val="0"/>
        <w:spacing w:lineRule="auto" w:line="268" w:before="0" w:after="0"/>
        <w:ind w:left="0" w:right="0" w:hanging="450"/>
        <w:jc w:val="both"/>
        <w:rPr/>
      </w:pPr>
      <w:r>
        <w:rPr>
          <w:color w:val="000000"/>
        </w:rPr>
        <w:t>•</w:t>
      </w:r>
      <w:r>
        <w:rPr>
          <w:rFonts w:ascii="Times New Roman;serif" w:hAnsi="Times New Roman;serif"/>
          <w:b w:val="false"/>
          <w:color w:val="000000"/>
          <w:sz w:val="20"/>
        </w:rPr>
        <w:t xml:space="preserve">In addition to the aforementioned proceeds from the sale, our liquidity sources may include (1) cash on hand, (2) cash generated by our operating activities, (3) availability under our 2026 Credit Facility, which has replaced the 2016 Credit Facility, (4) issuances under our CP Program, and (5) issuances of equity pursuant to our 2024 ATM Program or any similar successor program. Following the repayments of indebtedness discussed above using a portion of the cash proceeds from the Strategic Fiber Transaction, our liquidity uses are expected to include (1) maturing debt obligations of $3.0 billion (consisting of the 3.700% Senior Notes, the 1.050% Senior Notes, the 4.000% Senior Notes, the 2.900% Senior Notes and principal payments on certain outstanding debt), (2) share repurchases pursuant to the 2026 Stock Repurchase Program as discussed above, (3) common stock dividend payments, subject to declaration by our board of directors (see </w:t>
      </w:r>
      <w:r>
        <w:rPr>
          <w:rFonts w:ascii="Times New Roman;serif" w:hAnsi="Times New Roman;serif"/>
          <w:b w:val="false"/>
          <w:i/>
          <w:color w:val="000000"/>
          <w:sz w:val="20"/>
        </w:rPr>
        <w:t>"Item 7. MD&amp;A—General Overview—Common Stock Dividend"</w:t>
      </w:r>
      <w:r>
        <w:rPr>
          <w:rFonts w:ascii="Times New Roman;serif" w:hAnsi="Times New Roman;serif"/>
          <w:b w:val="false"/>
          <w:color w:val="000000"/>
          <w:sz w:val="20"/>
        </w:rPr>
        <w:t>) included in the 2025 Form 10-K, and (4) capital expenditures.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Amounts available under our CP Program may be repaid and re-issued from time to time and we intend to maintain available commitments under our 2016 Revolver, and will continue to maintain available commitments under our 2026 Credit Facility subsequent to May 1, 2026, in an amount at least equal to the amount of Commercial Paper Notes outstanding. Historically, from time to time, we have accessed the capital markets to issue debt and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See </w:t>
      </w:r>
      <w:r>
        <w:rPr>
          <w:rFonts w:ascii="Times New Roman;serif" w:hAnsi="Times New Roman;serif"/>
          <w:b w:val="false"/>
          <w:i/>
          <w:color w:val="000000"/>
          <w:sz w:val="20"/>
        </w:rPr>
        <w:t>"Item 3. Quantitative and Qualitative Disclosures About Market Risk"</w:t>
      </w:r>
      <w:r>
        <w:rPr>
          <w:color w:val="000000"/>
        </w:rPr>
        <w:t xml:space="preserve"> </w:t>
      </w:r>
      <w:r>
        <w:rPr>
          <w:rFonts w:ascii="Times New Roman;serif" w:hAnsi="Times New Roman;serif"/>
          <w:b w:val="false"/>
          <w:color w:val="000000"/>
          <w:sz w:val="20"/>
        </w:rPr>
        <w:t xml:space="preserve">for a discussion of interest rate risk and note 5 to our condensed consolidated financial statements for a tabular presentation of our debt maturities and a discussion of anticipated repayment dates. </w:t>
      </w:r>
    </w:p>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Summary Cash Flow Information</w:t>
      </w:r>
    </w:p>
    <w:tbl>
      <w:tblPr>
        <w:tblW w:w="10173" w:type="dxa"/>
        <w:jc w:val="left"/>
        <w:tblInd w:w="0" w:type="dxa"/>
        <w:tblLayout w:type="fixed"/>
        <w:tblCellMar>
          <w:top w:w="28" w:type="dxa"/>
          <w:left w:w="28" w:type="dxa"/>
          <w:bottom w:w="28" w:type="dxa"/>
          <w:right w:w="28" w:type="dxa"/>
        </w:tblCellMar>
      </w:tblPr>
      <w:tblGrid>
        <w:gridCol w:w="2453"/>
        <w:gridCol w:w="2159"/>
        <w:gridCol w:w="2182"/>
        <w:gridCol w:w="196"/>
        <w:gridCol w:w="421"/>
        <w:gridCol w:w="109"/>
        <w:gridCol w:w="109"/>
        <w:gridCol w:w="109"/>
        <w:gridCol w:w="109"/>
        <w:gridCol w:w="196"/>
        <w:gridCol w:w="421"/>
        <w:gridCol w:w="109"/>
        <w:gridCol w:w="109"/>
        <w:gridCol w:w="109"/>
        <w:gridCol w:w="109"/>
        <w:gridCol w:w="196"/>
        <w:gridCol w:w="496"/>
        <w:gridCol w:w="581"/>
      </w:tblGrid>
      <w:tr>
        <w:trPr/>
        <w:tc>
          <w:tcPr>
            <w:tcW w:w="245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581"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increase (decrease) in cash and cash equivalents and restricted cash and cash equivalents</w:t>
            </w:r>
            <w:r>
              <w:rPr>
                <w:rFonts w:ascii="Times New Roman;serif" w:hAnsi="Times New Roman;serif"/>
                <w:b w:val="false"/>
                <w:color w:val="000000"/>
                <w:sz w:val="12"/>
              </w:rPr>
              <w:t>(a)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cash and cash equivalents and restricted cash and cash equivalents included in discontinued operations.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Net cash provided by operating activities of $509 million for the first three months of 2026 decreased by $132 million, or 21%, compared to the first three months of 2025, due primarily to a net decrease in income from continuing operations driven by decreases in revenue stemming from DISH Terminations and increases in restructuring expenses, as discussed in </w:t>
      </w:r>
      <w:r>
        <w:rPr>
          <w:rFonts w:ascii="Times New Roman;serif" w:hAnsi="Times New Roman;serif"/>
          <w:b w:val="false"/>
          <w:i/>
          <w:color w:val="000000"/>
          <w:sz w:val="20"/>
        </w:rPr>
        <w:t>Item 2. MD&amp;A-Results of Operations</w:t>
      </w:r>
      <w:r>
        <w:rPr>
          <w:rFonts w:ascii="Times New Roman;serif" w:hAnsi="Times New Roman;serif"/>
          <w:b w:val="false"/>
          <w:color w:val="000000"/>
          <w:sz w:val="20"/>
        </w:rPr>
        <w:t>, and a net decrease from changes in working capital for both continuing and discontinued operations. Changes in working capital contribute to variability in net cash provided by operating activities, largely due to the timing of advanced payments by us and advanced receipts from tenants. We expect to grow our net cash provided by operating activities in the future (exclusive of changes in working capital) if we realize expected growth in our core business.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of $313 million for the first three months of 2026 increased by $58 million, or 23%, from the first three months of 2025 primarily as a result of an increase in discretionary capital expenditures related to continuing and discontinued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capital expenditures are categorized as discretionary or sustaining as described below.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Discretionary capital expenditures relating to continuing operations are those made with respect to activities which we believe exhibit sufficient potential to enhance long-term stockholder value. Discretionary capital expenditures, including with respect to discontinued operations, primarily consist of expansion or development of our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 to land assets under towers as we seek to manage our interests in the land beneath our towers), certain technology-related investments necessary to support and scale future customer demand for our communications infrastructure, and other capital projects. The expansion or development of existing communications infrastructure to accommodate new leasing typically varies based on, among other factors: (1) the type of communications infrastructure, (2) the scope, volume, and mix of work performed on the communications infrastructure, (3) existing capacity prior to installation, or (4) changes in structural engineering regulations and standards. Through the completion of the Strategic Fiber Transaction on May 1, 2026, construction of new communications infrastructure is predominately comprised of the construction of small cells and fiber (including certain construction projects that may take 18 to 36 months to complete). Our decisions regarding discretionary capital expenditures are influenced by the availability and cost of capital and expected returns on alternative uses of cash, such as payments of dividends and investments.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Sustaining capital expenditures consist of those capital expenditures (including with respect to discontinued operations) not otherwise categorized as discretionary capital expenditures, such as (1) maintenance capital expenditures on our communications infrastructure assets that enable our tenants' ongoing quiet enjoyment of the communications infrastructure and (2) ordinary corporate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our capital expenditures for continuing operations for the three months ended March 31, 2026 and 2025 is as follows:</w:t>
      </w:r>
    </w:p>
    <w:tbl>
      <w:tblPr>
        <w:tblW w:w="7728" w:type="dxa"/>
        <w:jc w:val="left"/>
        <w:tblInd w:w="0" w:type="dxa"/>
        <w:tblLayout w:type="fixed"/>
        <w:tblCellMar>
          <w:top w:w="28" w:type="dxa"/>
          <w:left w:w="28" w:type="dxa"/>
          <w:bottom w:w="28" w:type="dxa"/>
          <w:right w:w="28" w:type="dxa"/>
        </w:tblCellMar>
      </w:tblPr>
      <w:tblGrid>
        <w:gridCol w:w="1294"/>
        <w:gridCol w:w="1139"/>
        <w:gridCol w:w="1151"/>
        <w:gridCol w:w="409"/>
        <w:gridCol w:w="692"/>
        <w:gridCol w:w="227"/>
        <w:gridCol w:w="227"/>
        <w:gridCol w:w="1036"/>
        <w:gridCol w:w="109"/>
        <w:gridCol w:w="109"/>
        <w:gridCol w:w="109"/>
        <w:gridCol w:w="109"/>
        <w:gridCol w:w="109"/>
        <w:gridCol w:w="196"/>
        <w:gridCol w:w="331"/>
        <w:gridCol w:w="109"/>
        <w:gridCol w:w="109"/>
        <w:gridCol w:w="109"/>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For the Three Months Ended</w:t>
            </w:r>
          </w:p>
        </w:tc>
        <w:tc>
          <w:tcPr>
            <w:tcW w:w="1553" w:type="dxa"/>
            <w:gridSpan w:val="11"/>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2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2025</w:t>
            </w:r>
          </w:p>
        </w:tc>
        <w:tc>
          <w:tcPr>
            <w:tcW w:w="1553" w:type="dxa"/>
            <w:gridSpan w:val="11"/>
            <w:tcBorders/>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Discretionary:</w:t>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Tower improvements and other capital projects</w:t>
            </w:r>
            <w:r>
              <w:rPr>
                <w:rFonts w:ascii="Times New Roman;serif" w:hAnsi="Times New Roman;serif"/>
                <w:b w:val="false"/>
                <w:color w:val="000000"/>
                <w:sz w:val="12"/>
              </w:rPr>
              <w:t>(a)</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land interests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(a)Includes $2 million and $1 million of capital expenditures incurred during the three months ended March 31, 2026 and 2025, respectively, in connection with tenant installations and upgrades on our towers.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discretionary capital expenditures for our discontinued operations was primarily impacted by the timing of tenant activity during the first three months of 2026 compared to the same period in 2025. The increase in discretionary capital expenditures for our continuing operations was primarily due to an increase in land purchases under our towers.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seek to allocate cash generated by our operations in a manner that will enhance long-term stockholder value, which may include various financing activities such as (in no particular order): (1) paying dividends on our common stock, subject to declaration by our board of directors, (2) purchasing our common stock or (3) purchasing, repaying, or redeeming our debt. See notes 5 and 10 to our condensed consolidated financial statements.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Net cash used for financing activities of $179 million for the first three months of 2026 decreased by $224 million from the first three months of 2025 as a result of the decline in dividends paid. See "</w:t>
      </w:r>
      <w:r>
        <w:rPr>
          <w:rFonts w:ascii="Times New Roman;serif" w:hAnsi="Times New Roman;serif"/>
          <w:b w:val="false"/>
          <w:i/>
          <w:color w:val="000000"/>
          <w:sz w:val="20"/>
        </w:rPr>
        <w:t>Item 2. MD&amp;A—General Overview—Highlights of Business Fundamentals and Results"</w:t>
      </w:r>
      <w:r>
        <w:rPr>
          <w:color w:val="000000"/>
        </w:rPr>
        <w:t xml:space="preserve"> </w:t>
      </w:r>
      <w:r>
        <w:rPr>
          <w:rFonts w:ascii="Times New Roman;serif" w:hAnsi="Times New Roman;serif"/>
          <w:b w:val="false"/>
          <w:color w:val="000000"/>
          <w:sz w:val="20"/>
        </w:rPr>
        <w:t>and notes 5 and 10 to our condensed consolidated financial statements for further information.</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Credit Facility. </w:t>
      </w:r>
      <w:r>
        <w:rPr>
          <w:rFonts w:ascii="Times New Roman;serif" w:hAnsi="Times New Roman;serif"/>
          <w:b w:val="false"/>
          <w:color w:val="000000"/>
          <w:sz w:val="20"/>
        </w:rPr>
        <w:t>The proceeds from our 2016 Revolver may be used for general corporate purposes, which may include the financing of capital expenditures, acquisitions, the repayment or repurchase of any outstanding indebtedness and purchases of our common stock. In connection with the completion of the Strategic Fiber Transaction on May 1, 2026, we repaid all then-outstanding indebtedness under the 2016 Credit Facility and entered into the 2026 Revolving Credit Facility, a senior unsecured revolving credit facility with total commitments of $4.5 billion that matures in May 2031. The proceeds from borrowings under the 2026 Revolving Credit Facility may be used for general corporate purposes, which may include the financing of capital expenditures, acquisitions, the repayment or repurchase of any outstanding indebtedness and purchases of our common stock. The 2026 Credit Facility replaces the 2016 Credit Facility. See note 14 to our condensed consolidated financial statements for additional discussion of the 2026 Credit Facility. As of May 5, 2026, we had no outstanding balance and $4.5 billion in undrawn availability under our 2026 Credit Facility. At any point in time, we intend to maintain available commitments under our 2016 Revolver, and will continue to maintain available commitments under our 2026 Credit Facility subsequent to May 1, 2026, in an amount at least equal to the amount of outstanding Commercial Paper Notes. See note 5 to our condensed consolidated financial statements for additional information regarding our 2016 Credit Facility.</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Commercial Paper Program</w:t>
      </w:r>
      <w:r>
        <w:rPr>
          <w:rFonts w:ascii="Times New Roman;serif" w:hAnsi="Times New Roman;serif"/>
          <w:b w:val="false"/>
          <w:color w:val="000000"/>
          <w:sz w:val="20"/>
        </w:rPr>
        <w:t>. The proceeds from our Commercial Paper Notes may be used for general corporate purposes, which may include the financing of capital expenditures, acquisitions, the repayment or repurchase of any outstanding indebtedness and purchases of our common stock. As discussed above, we anticipate using a portion of the proceeds from the Strategic Fiber Transaction to repay all outstanding indebtedness under the Commercial Paper Program as it matures in the second quarter of 2026. As of May 5, 2026, there was $1.5 billion outstanding under our CP Program. See note 5 to our condensed consolidated financial statements for further information regarding our CP Program.</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Incurrence, Purchases, and Repayments of Debt. </w:t>
      </w:r>
      <w:r>
        <w:rPr>
          <w:rFonts w:ascii="Times New Roman;serif" w:hAnsi="Times New Roman;serif"/>
          <w:b w:val="false"/>
          <w:color w:val="000000"/>
          <w:sz w:val="20"/>
        </w:rPr>
        <w:t xml:space="preserve">See </w:t>
      </w:r>
      <w:r>
        <w:rPr>
          <w:rFonts w:ascii="Times New Roman;serif" w:hAnsi="Times New Roman;serif"/>
          <w:b w:val="false"/>
          <w:i/>
          <w:color w:val="000000"/>
          <w:sz w:val="20"/>
        </w:rPr>
        <w:t>"Item 7. MD&amp;A—General Overview",</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 xml:space="preserve">MD&amp;A—Liquidity and Capital Resources—Overview—Liquidity Position" </w:t>
      </w:r>
      <w:r>
        <w:rPr>
          <w:rFonts w:ascii="Times New Roman;serif" w:hAnsi="Times New Roman;serif"/>
          <w:b w:val="false"/>
          <w:color w:val="000000"/>
          <w:sz w:val="20"/>
        </w:rPr>
        <w:t>and note 8 of our consolidated financial statements in the 2025 Form 10-K for further discussion of our recent issuances, purchases, redemptions and repayments of debt. See above and note 14 of our condensed consolidated financial statements for additional discussion of repayments of indebtedness subsequent to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Common Stock Activity. </w:t>
      </w:r>
      <w:r>
        <w:rPr>
          <w:rFonts w:ascii="Times New Roman;serif" w:hAnsi="Times New Roman;serif"/>
          <w:b w:val="false"/>
          <w:color w:val="000000"/>
          <w:sz w:val="20"/>
        </w:rPr>
        <w:t>See note 10 to our condensed consolidated financial statements for further information regarding our common stock and dividends. As discussed above, pursuant to the 2026 Stock Repurchase Program, the Company intends to use approximately $1.0 billion of the cash proceeds received from the completion of the Strategic Fiber Transaction to repurchase shares in 2026, subject to market conditions. See note 14 to our condensed consolidated financial statements for further information regarding the 2026 Stock Repurchase Program.</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ATM Program. </w:t>
      </w:r>
      <w:r>
        <w:rPr>
          <w:rFonts w:ascii="Times New Roman;serif" w:hAnsi="Times New Roman;serif"/>
          <w:b w:val="false"/>
          <w:color w:val="000000"/>
          <w:sz w:val="20"/>
        </w:rPr>
        <w:t>In March 2024, we established the 2024 ATM Program through which we may issue and sell shares of our common stock having an aggregate gross sales price of up to $750 million. Sales under the 2024 ATM Program may be made by means of ordinary brokers' transactions on the New York Stock Exchange ("NYSE") or otherwise at market prices prevailing at the time of sale, at prices related to prevailing market prices or, subject to our specific instructions, at negotiated prices. We intend to use the net proceeds from any sales under the 2024 ATM Program for general corporate purposes, which may include (1) the funding of future acquisitions or investments or (2) the repayment or repurchase of any outstanding indebtedness. We have not sold any shares of common stock under the 2024 ATM Program.</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Debt Covenants. </w:t>
      </w:r>
      <w:r>
        <w:rPr>
          <w:rFonts w:ascii="Times New Roman;serif" w:hAnsi="Times New Roman;serif"/>
          <w:b w:val="false"/>
          <w:color w:val="000000"/>
          <w:sz w:val="20"/>
        </w:rPr>
        <w:t xml:space="preserve">Our 2016 Credit Agreement contains financial maintenance covenants. We are currently in compliance with these financial maintenance covenants and, based upon our current expectations, we believe we will continue to comply with our financial maintenance covenants. In addition, certain of our debt agreements contain restrictive covenants that place restrictions on us and may limit our ability to, among other things, incur additional debt and liens, purchase our securities, make capital expenditures, dispose of assets, undertake transactions with affiliates, make other investments, pay dividends or distribute excess cash flow. See the 2025 Form 10-K for a further discussion of our debt covenants, certain restrictive covenants and factors that are likely to determine our subsidiaries' ability to comply with current and future debt covenants. The 2026 Credit Facility has replaced the 2016 Credit Facility as of May 1, 2026. The financial covenants under the 2026 Credit Facility are substantially similar to the financial covenants under the 2016 Credit Facility, except that (i) the Total Net Leverage Ratio has increased to ≤ 7.0x from ≤ 6.5x and (ii) the Consolidated Interest Coverage Ratio has been removed.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Accounting and Reporting Matters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Critical Accounting Policies and Estimates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Accordingly, actual results could differ materially from our estimates. Our critical accounting policies and estimates as of December 31, 2025 are described in </w:t>
      </w:r>
      <w:r>
        <w:rPr>
          <w:rFonts w:ascii="Times New Roman;serif" w:hAnsi="Times New Roman;serif"/>
          <w:b w:val="false"/>
          <w:i/>
          <w:color w:val="000000"/>
          <w:sz w:val="20"/>
        </w:rPr>
        <w:t>"Item 7. MD&amp;A—Accounting and Reporting Matters"</w:t>
      </w:r>
      <w:r>
        <w:rPr>
          <w:color w:val="000000"/>
        </w:rPr>
        <w:t xml:space="preserve"> </w:t>
      </w:r>
      <w:r>
        <w:rPr>
          <w:rFonts w:ascii="Times New Roman;serif" w:hAnsi="Times New Roman;serif"/>
          <w:b w:val="false"/>
          <w:color w:val="000000"/>
          <w:sz w:val="20"/>
        </w:rPr>
        <w:t xml:space="preserve">and in note 2 of our consolidated financial statements in the 2025 Form 10-K.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Accounting Pronouncements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Recently Adopted Accounting Pronouncements. </w:t>
      </w:r>
      <w:r>
        <w:rPr>
          <w:rFonts w:ascii="Times New Roman;serif" w:hAnsi="Times New Roman;serif"/>
          <w:b w:val="false"/>
          <w:color w:val="000000"/>
          <w:sz w:val="20"/>
        </w:rPr>
        <w:t>See note 2 to our condensed consolidated financial statements.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Recent Accounting Pronouncements Not Yet Adopted. </w:t>
      </w:r>
      <w:r>
        <w:rPr>
          <w:rFonts w:ascii="Times New Roman;serif" w:hAnsi="Times New Roman;serif"/>
          <w:b w:val="false"/>
          <w:color w:val="000000"/>
          <w:sz w:val="20"/>
        </w:rPr>
        <w:t>See note 2 to our condensed consolidated financial statements.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Non-GAAP Financial Measures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earnings before interest, taxes, depreciation, amortization and accretion, as adjusted ("Adjusted EBITDA") as net income (loss) plus restructuring charges (credits), asset write-down charges, goodwill impairment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Adjusted EBITDA, which is a non-GAAP financial measure, as an indicator of consolidated financial performance. Our measure of Adjusted EBITDA may not be comparable to similarly titled measures of other companies, including companies in the towers sector or other REITs, and is not a measure of performance calculated in accordance with GAAP. Adjusted EBITDA should not be considered in isolation or as a substitute for operating income (loss), net income (loss), net cash provided by (used for) operating, investing and financing activities or other income statement or cash flow statement data prepared in accordance with GAAP and should be considered only as a supplement to net income (loss) computed in accordance with GAAP as a measure of our performance. There are material limitations to using a measure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including the difficulty associated with comparing results among more than one company, including our competitors, and the inability to analyze certain significant items, including depreciation and interest expense, that directly affect our net income (loss). Management compensates for these limitations by considering the economic effect of the excluded expense items independently as well as in connection with their analysis of net income (loss). The reconciliation of Adjusted EBITDA to our net income (loss) is set forth below: </w:t>
      </w:r>
    </w:p>
    <w:p>
      <w:pPr>
        <w:pStyle w:val="TextBody"/>
        <w:bidi w:val="0"/>
        <w:spacing w:before="180" w:after="283"/>
        <w:ind w:left="0" w:right="0" w:firstLine="450"/>
        <w:jc w:val="center"/>
        <w:rPr/>
      </w:pPr>
      <w:r>
        <w:rPr/>
      </w:r>
    </w:p>
    <w:tbl>
      <w:tblPr>
        <w:tblW w:w="7151" w:type="dxa"/>
        <w:jc w:val="left"/>
        <w:tblInd w:w="0" w:type="dxa"/>
        <w:tblLayout w:type="fixed"/>
        <w:tblCellMar>
          <w:top w:w="28" w:type="dxa"/>
          <w:left w:w="28" w:type="dxa"/>
          <w:bottom w:w="28" w:type="dxa"/>
          <w:right w:w="28" w:type="dxa"/>
        </w:tblCellMar>
      </w:tblPr>
      <w:tblGrid>
        <w:gridCol w:w="1707"/>
        <w:gridCol w:w="1498"/>
        <w:gridCol w:w="1505"/>
        <w:gridCol w:w="207"/>
        <w:gridCol w:w="446"/>
        <w:gridCol w:w="115"/>
        <w:gridCol w:w="115"/>
        <w:gridCol w:w="115"/>
        <w:gridCol w:w="115"/>
        <w:gridCol w:w="207"/>
        <w:gridCol w:w="525"/>
        <w:gridCol w:w="115"/>
        <w:gridCol w:w="109"/>
        <w:gridCol w:w="109"/>
        <w:gridCol w:w="109"/>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 components may not sum to totals due to rounding)</w:t>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10" w:type="dxa"/>
            <w:gridSpan w:val="3"/>
            <w:vMerge w:val="continue"/>
            <w:tcBorders/>
            <w:tcMar>
              <w:top w:w="0" w:type="dxa"/>
              <w:left w:w="0" w:type="dxa"/>
              <w:bottom w:w="0" w:type="dxa"/>
              <w:right w:w="0" w:type="dxa"/>
            </w:tcMar>
            <w:vAlign w:val="center"/>
          </w:tcPr>
          <w:p>
            <w:pPr>
              <w:pStyle w:val="Normal"/>
              <w:bidi w:val="0"/>
              <w:jc w:val="left"/>
              <w:rPr/>
            </w:pPr>
            <w:r>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(a)</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above reconciliation excludes the items included in our Adjusted EBITDA definition which are not applicable to the periods shown.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Adjusted EBITDA is useful to investors or other interested parties in evaluating our financial performance because: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they are frequently used by our management (1) to evaluate the economic productivity of our operations and (2) for purposes of making decisions about allocating resources to, and assessing the performance of, our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although specific definitions may vary, it is widely used by investors or other interested parties in evaluation of the tower sector and other REITs to measure financial performance without regard to items such as depreciation, amortization and accretion, which can vary depending upon accounting methods and the book value of assets;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believe it helps investors and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they are similar to the measure of current financial performance generally used in our debt covenant calculations.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uses Adjusted EBITDA: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as a component in the employee annual incentive compensation calculation;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 a measurement of financial performance because it assists us in comparing our financial performance on a consistent basis as it removes the impact of our capital structure (primarily interest charges from our outstanding debt) and asset base (primarily depreciation, amortization and accretion) from our operating results;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presentations to our board of directors to enable it to have the same measurement of financial performance used by management;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planning purposes, including preparation of our annual operating budget;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 a valuation measure in strategic analyses in connection with the purchase and sale of assets;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determining self-imposed limits on our debt levels, including the evaluation of our leverage ratio;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with respect to compliance with our debt covenants, which require us to maintain certain financial ratios that incorporate concepts such as, or similar to,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Site Rental Gross Margin as net income (loss) plus services and other costs of operations, selling, general and administrative expenses, restructuring charges (credits), asset write-down charges, goodwill impairment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 recorded in consolidated site rental costs of operations, less services and other revenues.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Adjusted Services and Other Gross Margin as net income (loss) plus site rental costs of operations, selling, general and administrative expenses, restructuring charges (credits), asset write-down charges, goodwill impairment charges, acquisition and integration costs, depreciation, amortization and accretion,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 recorded in consolidated services and other costs of operations, less site rental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Adjusted Site Rental Gross Margin and Adjusted Services and Other Gross Margin, which are non-GAAP financial measures, as indicators of financial performance. Our measures of Adjusted Site Rental Gross Margin and Adjusted Services and Other Gross Margin may not be comparable to similarly titled measures of other companies, including companies in the towers sector or other REITs, and are not measures of performance calculated in accordance with GAAP. There are material limitations to using measures such as Adjusted Site Rental Gross Margin and Adjusted Services and Other Gross Margin, including the difficulty associated with comparing results among more than one company, including our competitors, and the inability to analyze certain significant items, including selling, general and administrative expenses and depreciation, amortization, and accretion, that directly affect our net income (loss). Management compensates for these limitations by considering the economic effect of the excluded expense items independently as well as in connection with their analysis of net income (loss). The reconciliations of Adjusted Site Rental Gross Margin and Adjusted Services and Other Gross Margin to our net income (loss) are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tbl>
      <w:tblPr>
        <w:tblW w:w="8908" w:type="dxa"/>
        <w:jc w:val="center"/>
        <w:tblInd w:w="0" w:type="dxa"/>
        <w:tblLayout w:type="fixed"/>
        <w:tblCellMar>
          <w:top w:w="28" w:type="dxa"/>
          <w:left w:w="28" w:type="dxa"/>
          <w:bottom w:w="28" w:type="dxa"/>
          <w:right w:w="28" w:type="dxa"/>
        </w:tblCellMar>
      </w:tblPr>
      <w:tblGrid>
        <w:gridCol w:w="2343"/>
        <w:gridCol w:w="2056"/>
        <w:gridCol w:w="2066"/>
        <w:gridCol w:w="207"/>
        <w:gridCol w:w="447"/>
        <w:gridCol w:w="115"/>
        <w:gridCol w:w="115"/>
        <w:gridCol w:w="115"/>
        <w:gridCol w:w="115"/>
        <w:gridCol w:w="207"/>
        <w:gridCol w:w="526"/>
        <w:gridCol w:w="115"/>
        <w:gridCol w:w="109"/>
        <w:gridCol w:w="109"/>
        <w:gridCol w:w="109"/>
        <w:gridCol w:w="154"/>
      </w:tblGrid>
      <w:tr>
        <w:trPr/>
        <w:tc>
          <w:tcPr>
            <w:tcW w:w="2343"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 components may not sum to totals due to rounding)</w:t>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revenues</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costs of operations</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recorded in site rental costs of operations</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Site Rental Gross Margin</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 components may not sum to totals due to rounding)</w:t>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Site rental costs of operations</w:t>
            </w:r>
            <w:r>
              <w:rPr>
                <w:rFonts w:ascii="Times New Roman;serif" w:hAnsi="Times New Roman;serif"/>
                <w:b w:val="false"/>
                <w:color w:val="000000"/>
                <w:sz w:val="12"/>
              </w:rPr>
              <w:t>(a)</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recorded in services and other costs of operations</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Services and Other Gross Margin</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(a)Exclusive of depreciation, amortization and accretion, shown separately.</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Adjusted Site Rental Gross Margin and Adjusted Services and Other Gross Margin are useful to investors or other interested parties in evaluating our financial performance because: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they are measures used by our management (1) to evaluate the economic productivity of our business, (2) to identify underlying business trends that are impacting our performance, and (3) for purposes of making decisions about allocating resources to, and assessing the performance of, our business;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we believe it helps investors and other interested parties meaningfully evaluate and compare the results of our operations from period to period.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uses Adjusted Site Rental Gross Margin and Adjusted Services and Other Gross Margin:</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 xml:space="preserve">as a measurement of financial performance because it assists us in comparing our financial performance excluding the impact of certain non-cash items such as stock-based compensation expense, net and amortization of prepaid lease purchase price adjustments and asset base (primarily depreciation, amortization and accretion) from our operating results and before consideration of selling, general and administrative expenses;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 the evaluation of pricing of new projects and new tenant agreements;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for planning purposes, including preparation of our annual operating budget.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following section updates </w:t>
      </w:r>
      <w:r>
        <w:rPr>
          <w:rFonts w:ascii="Times New Roman;serif" w:hAnsi="Times New Roman;serif"/>
          <w:b w:val="false"/>
          <w:i/>
          <w:color w:val="000000"/>
          <w:sz w:val="20"/>
        </w:rPr>
        <w:t>"Item 7A. Quantitative and Qualitative Disclosures About Market Risk"</w:t>
      </w:r>
      <w:r>
        <w:rPr>
          <w:color w:val="000000"/>
        </w:rPr>
        <w:t xml:space="preserve"> </w:t>
      </w:r>
      <w:r>
        <w:rPr>
          <w:rFonts w:ascii="Times New Roman;serif" w:hAnsi="Times New Roman;serif"/>
          <w:b w:val="false"/>
          <w:color w:val="000000"/>
          <w:sz w:val="20"/>
        </w:rPr>
        <w:t>in the 2025 Form 10-K and should be read in conjunction with that report as well as our condensed consolidated financial statements.</w:t>
      </w:r>
      <w:r>
        <w:rPr>
          <w:color w:val="000000"/>
        </w:rPr>
        <w:t xml:space="preserve">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Rate Risk.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interest rate risk as of March 31, 2026 relates primarily to the impact of interest rate movements on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$5.2 billion of floating rate debt as of March 31, 2026, which represented approximately 21% of our total debt as of March 31, 2026;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future borrowings of incremental debt, including borrowings under our 2016 Credit Facility (and 2026 Credit Facility, which replaced the 2016 Credit Facility as discussed in note 14 to our condensed consolidated financial statements) and issuances under our CP Program.</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See also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in the 2025 Form 10-K for a discussion of risks stemming from interest rate increases.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no interest rate swaps.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Subsequent to March 31, 2026, we repaid a portion of our outstanding floating rate debt, which was previously held under our 2016 Credit Facility. We intend to repay our remaining floating rate debt, held under our CP Program, as it matures during the second quarter of 2026. Accordingly, our floating</w:t>
        <w:noBreakHyphen/>
        <w:t>rate exposure after March 31, 2026 differs from the amounts presented herein, which reflect our debt outstanding as of March 31, 2026. See note 14 to our condensed consolidated financial statements.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Sensitivity Analysis.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manage our exposure to market interest rates on our existing debt by controlling the mix of fixed and floating rate debt. As of March 31, 2026, we had $5.2 billion of floating rate debt. As a result, a hypothetical unfavorable fluctuation in market interest rates on our existing debt of 1/4 of a percent point over a 12-month period would increase our interest expense by approximately $13 million based on floating-rate debt outstanding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Future Principal Payments and Interest Rates.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our market risk related to changes in interest rates. The future principal payments and weighted-average interest rates are presented as of March 31, 2026. These debt maturities reflect final maturity dates and do not consider the impact of the principal payments that commence following the anticipated repayment date of certain debt (see footnotes (b) and (d) hereto). The information presented below regarding the variable rate debt is supplementary to our sensitivity analysis regarding the impact of changes in the interest rates. See notes 5 and 6 to our condensed consolidated financial statements and the 2025 Form 10-K for additional information regarding our debt. </w:t>
      </w:r>
    </w:p>
    <w:tbl>
      <w:tblPr>
        <w:tblW w:w="11017" w:type="dxa"/>
        <w:jc w:val="center"/>
        <w:tblInd w:w="0" w:type="dxa"/>
        <w:tblLayout w:type="fixed"/>
        <w:tblCellMar>
          <w:top w:w="28" w:type="dxa"/>
          <w:left w:w="28" w:type="dxa"/>
          <w:bottom w:w="28" w:type="dxa"/>
          <w:right w:w="28" w:type="dxa"/>
        </w:tblCellMar>
      </w:tblPr>
      <w:tblGrid>
        <w:gridCol w:w="337"/>
        <w:gridCol w:w="191"/>
        <w:gridCol w:w="193"/>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421"/>
        <w:gridCol w:w="256"/>
        <w:gridCol w:w="109"/>
        <w:gridCol w:w="109"/>
        <w:gridCol w:w="109"/>
        <w:gridCol w:w="196"/>
        <w:gridCol w:w="556"/>
        <w:gridCol w:w="256"/>
        <w:gridCol w:w="109"/>
        <w:gridCol w:w="109"/>
        <w:gridCol w:w="109"/>
        <w:gridCol w:w="196"/>
        <w:gridCol w:w="646"/>
        <w:gridCol w:w="256"/>
        <w:gridCol w:w="109"/>
        <w:gridCol w:w="109"/>
        <w:gridCol w:w="109"/>
        <w:gridCol w:w="196"/>
        <w:gridCol w:w="64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Future Principal Payments and Interest Rates by the Debt Instruments' Contractual Year of Maturity</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2026</w:t>
            </w:r>
            <w:r>
              <w:rPr>
                <w:rFonts w:ascii="Times New Roman;serif" w:hAnsi="Times New Roman;serif"/>
                <w:b/>
                <w:color w:val="000000"/>
                <w:sz w:val="9"/>
              </w:rPr>
              <w:t>(g)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2027</w:t>
            </w:r>
            <w:r>
              <w:rPr>
                <w:rFonts w:ascii="Times New Roman;serif" w:hAnsi="Times New Roman;serif"/>
                <w:b/>
                <w:color w:val="000000"/>
                <w:sz w:val="9"/>
              </w:rPr>
              <w:t>(g)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Fair Value</w:t>
            </w:r>
            <w:r>
              <w:rPr>
                <w:rFonts w:ascii="Times New Roman;serif" w:hAnsi="Times New Roman;serif"/>
                <w:b/>
                <w:color w:val="000000"/>
                <w:sz w:val="9"/>
              </w:rPr>
              <w:t>(a)</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Fixed rate</w:t>
            </w:r>
            <w:r>
              <w:rPr>
                <w:rFonts w:ascii="Times New Roman;serif" w:hAnsi="Times New Roman;serif"/>
                <w:b w:val="false"/>
                <w:color w:val="000000"/>
                <w:sz w:val="12"/>
              </w:rPr>
              <w:t>(b)</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Average interest rate</w:t>
            </w:r>
            <w:r>
              <w:rPr>
                <w:rFonts w:ascii="Times New Roman;serif" w:hAnsi="Times New Roman;serif"/>
                <w:b w:val="false"/>
                <w:color w:val="000000"/>
                <w:sz w:val="12"/>
              </w:rPr>
              <w:t>(b)(c)(d)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Variable rate</w:t>
            </w:r>
            <w:r>
              <w:rPr>
                <w:rFonts w:ascii="Times New Roman;serif" w:hAnsi="Times New Roman;serif"/>
                <w:b w:val="false"/>
                <w:color w:val="000000"/>
                <w:sz w:val="12"/>
              </w:rPr>
              <w:t>(e)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(f)</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Average interest rate</w:t>
            </w:r>
            <w:r>
              <w:rPr>
                <w:rFonts w:ascii="Times New Roman;serif" w:hAnsi="Times New Roman;serif"/>
                <w:b w:val="false"/>
                <w:color w:val="000000"/>
                <w:sz w:val="12"/>
              </w:rPr>
              <w: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fair value of our debt is based on indicative quotes, non-binding quotes from brokers that require judgment to interpret market information, including implied credit spreads for similar borrowings on recent trades or bid/ask offers. These fair values are not necessarily indicative of the amount, which could be realized in a current market exchange.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(b)The impact of principal payments that will commence following an anticipated repayment date is not considered (see footnote (d) below). The Tower Revenue Notes, Series 2018-2 have a principal amount of $750 million, with an anticipated repayment date in 2028.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(c)The average interest rate represents the weighted-average stated coupon rate (see footnote (d) below).</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(d)If the Tower Revenue Notes, Series 2018-2 are not repaid in full by the anticipated repayment date, the interest rate increases by approximately 5% per annum and monthly principal payments commence using the Excess Cash Flow (as defined in the indenture governing the Tower Revenue Notes, Series 2018-2) of the issuers of the Tower Revenue Notes, Series 2018-2. The Tower Revenue Notes, Series 2018-2 are presented based on their contractual maturity date in 2048 and include the impact of an assumed 5% increase in interest rate that would occur following the anticipated repayment date in July 2028 but exclude the impact of monthly principal payments that would commence using Excess Cash Flow of the issuers of the Tower Revenue Notes, Series 2018-2. The full year 2025 Excess Cash Flow of the issuers of the Tower Revenue Notes, Series 2018-2 was approximately $1.0 billion. We currently expect to refinance or repay these notes on or prior to the anticipated repayment date.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(e)See note 8 to our consolidated financial statements in the 2025 Form 10-K for information regarding potential upward or downward adjustments to the interest rate spread and unused commitment fee percentage on our 2016 Credit Facility if we achieve specified annual sustainability targets or fail to meet annual sustainability metrics. Each period presented assumes the downward adjustments in the interest rate spread and unused commitment fee percentage on our 2016 Credit Facility. The 2026 Credit Facility, which replaced the 2016 Credit Facility, does not have such upward or downward adjustments. See note 14 to our condensed consolidated financial statements.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(f)Predominately consists of outstanding indebtedness under our CP Program. Such amounts may be issued, repaid or re-issued from time to time.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(g)Subsequent to March 31, 2026 and prior to the issuance of these financial statements we repaid all amounts outstanding under the 2016 Credit Facility. We intend to repay all amounts owed under our CP Program in the second quarter of 2026. See note 14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4.CONTROLS AND PROCEDURES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Disclosure Controls and Procedures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conducted an evaluation, under the supervision and with the participation of the Company's management, including the Company's Chief Executive Officer ("CEO") and Chief Financial Officer ("CFO"), of the effectiveness of the Company's disclosure controls and procedures as of the end of the period covered by this report. Based upon their evaluation, the CEO and CFO concluded that as of March 31, 2026, the Company's disclosure controls and procedures were effective in alerting them in a timely manner to material information relating to the Company required to be included in the Company's periodic reports under the Securities Exchange Act of 1934, as amended.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during the fiscal quarter covered by this Form 10-Q that have materially affected, or are reasonably likely to materially affect, the Company's internal control over financial reporting.</w:t>
      </w:r>
    </w:p>
    <w:p>
      <w:pPr>
        <w:pStyle w:val="TextBody"/>
        <w:bidi w:val="0"/>
        <w:spacing w:before="180" w:after="283"/>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PART II—OTHER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periodically involved in legal proceedings that arise in the ordinary course of business. Most of these proceedings arising in the ordinary course of business involve disputes with landlords, vendors, collection matters involving bankrupt tenants, zoning or siting matters, construction, condemnation, tax, employment, or wrongful termination matters. While the outcome of these matters cannot be predicted with certainty, management does not expect any pending matters to have a material adverse effect on us.</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the disclosure in note 9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1A.</w:t>
      </w:r>
      <w:r>
        <w:rPr>
          <w:rFonts w:ascii="Times New Roman;serif" w:hAnsi="Times New Roman;serif"/>
          <w:b/>
          <w:color w:val="000000"/>
          <w:sz w:val="20"/>
        </w:rPr>
        <w:t>RISK FACTORS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Except as noted below, there are no material changes to the risk factors discussed in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in the 2025 Form 10-K.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 2026, we completed the previously announced sale of our Fiber Business. As a result of the completion of this transaction, the risks described under "Risks Relating to Our Pending Sale of the Fiber Business" in our 2025 Form 10-K are no longer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5.</w:t>
      </w:r>
      <w:r>
        <w:rPr>
          <w:rFonts w:ascii="Times New Roman;serif" w:hAnsi="Times New Roman;serif"/>
          <w:b/>
          <w:color w:val="000000"/>
          <w:sz w:val="20"/>
        </w:rPr>
        <w:t>OTHER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fiscal three months ended March 31, 2026, none of the Company’s directors or officers (as defined in Rule 16a1(f) under the Exchange Act) adopted or terminated any contract, instruction, or written plan for the purchase or sale of the Company's securities intended to satisfy the conditions of the affirmative defense provided by Rule 10b5-1(c) or any "non-Rule 10b5-1 trading arrangement,"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6.EXHIBITS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Exhibit Index </w:t>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073"/>
        <w:gridCol w:w="1635"/>
        <w:gridCol w:w="1642"/>
        <w:gridCol w:w="109"/>
        <w:gridCol w:w="109"/>
        <w:gridCol w:w="109"/>
        <w:gridCol w:w="140"/>
        <w:gridCol w:w="140"/>
        <w:gridCol w:w="141"/>
        <w:gridCol w:w="109"/>
        <w:gridCol w:w="109"/>
        <w:gridCol w:w="109"/>
        <w:gridCol w:w="201"/>
        <w:gridCol w:w="201"/>
        <w:gridCol w:w="203"/>
        <w:gridCol w:w="109"/>
        <w:gridCol w:w="109"/>
        <w:gridCol w:w="109"/>
        <w:gridCol w:w="424"/>
        <w:gridCol w:w="311"/>
        <w:gridCol w:w="197"/>
        <w:gridCol w:w="109"/>
        <w:gridCol w:w="109"/>
        <w:gridCol w:w="109"/>
        <w:gridCol w:w="196"/>
        <w:gridCol w:w="196"/>
        <w:gridCol w:w="28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Incorporated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Exhibit Number</w:t>
            </w:r>
          </w:p>
        </w:tc>
      </w:tr>
      <w:tr>
        <w:trPr/>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 xml:space="preserve">Stock Purchase Agreement, dated March 13, 2025, by and among Crown Castle Operating Company, CCS&amp;E LLC, Crown Castle Investment II Corp., Fiber Finco, LLC, Small Cells Holdco Inc. and, solely for the purposes of certain sections thereof, Crown Castle Inc. and Zayo Group Holdings, Inc.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March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Amended and Restated Certificate of Incorporation of Crown Castle Inc., dated May 21,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21,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Second Amended and Restated By-laws of Crown Castle Inc., dated November 6,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Amendment to Second Amended and Restated By-laws of Crown Castle Inc., dated February 26,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February 26,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18"/>
                  <w:u w:val="single"/>
                </w:rPr>
                <w:t>Crown Castle In</w:t>
              </w:r>
            </w:hyperlink>
            <w:hyperlink r:id="rId9">
              <w:r>
                <w:rPr>
                  <w:rStyle w:val="InternetLink"/>
                  <w:rFonts w:ascii="Times New Roman;serif" w:hAnsi="Times New Roman;serif"/>
                  <w:b w:val="false"/>
                  <w:color w:val="000080"/>
                  <w:sz w:val="18"/>
                  <w:u w:val="single"/>
                </w:rPr>
                <w:t>c. 2026 EMT Annual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February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2-crowncastle2022.htm">
              <w:r>
                <w:rPr>
                  <w:rStyle w:val="InternetLink"/>
                  <w:rFonts w:ascii="Times New Roman;serif" w:hAnsi="Times New Roman;serif"/>
                  <w:b w:val="false"/>
                  <w:color w:val="000080"/>
                  <w:sz w:val="18"/>
                  <w:u w:val="single"/>
                </w:rPr>
                <w:t xml:space="preserve">Form of Restricted Stock Unit Agreement for 2022 Long-Term Incentive Plan (effective </w:t>
              </w:r>
            </w:hyperlink>
            <w:hyperlink w:anchor="exhibit102-crowncastle2022.htm">
              <w:r>
                <w:rPr>
                  <w:rStyle w:val="InternetLink"/>
                  <w:rFonts w:ascii="Times New Roman;serif" w:hAnsi="Times New Roman;serif"/>
                  <w:b w:val="false"/>
                  <w:color w:val="000080"/>
                  <w:sz w:val="18"/>
                  <w:u w:val="single"/>
                </w:rPr>
                <w:t>February 25, 2026</w:t>
              </w:r>
            </w:hyperlink>
            <w:hyperlink w:anchor="exhibit102-crowncastle2022.htm">
              <w:r>
                <w:rPr>
                  <w:rStyle w:val="InternetLink"/>
                  <w:rFonts w:ascii="Times New Roman;serif" w:hAnsi="Times New Roman;serif"/>
                  <w:b w:val="false"/>
                  <w:color w:val="000080"/>
                  <w:sz w:val="18"/>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Credit Agreement dated as of May 1, 2026, among Crown Castle Inc., the lenders and issuing banks party thereto and JPMorgan Chase Bank, N.A.,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033126.htm">
              <w:r>
                <w:rPr>
                  <w:rStyle w:val="InternetLink"/>
                  <w:rFonts w:ascii="Times New Roman;serif" w:hAnsi="Times New Roman;serif"/>
                  <w:b w:val="false"/>
                  <w:color w:val="0000FF"/>
                  <w:sz w:val="18"/>
                  <w:u w:val="single"/>
                </w:rPr>
                <w:t xml:space="preserve">Certification of Chief Executive Officer pursuant to Section 302 of Sarbanes-Oxley Act of 2002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033126.htm">
              <w:r>
                <w:rPr>
                  <w:rStyle w:val="InternetLink"/>
                  <w:rFonts w:ascii="Times New Roman;serif" w:hAnsi="Times New Roman;serif"/>
                  <w:b w:val="false"/>
                  <w:color w:val="0000FF"/>
                  <w:sz w:val="18"/>
                  <w:u w:val="single"/>
                </w:rPr>
                <w:t xml:space="preserve">Certification of Chief Financial Officer pursuant to Section 302 of Sarbanes-Oxley Act of 2002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033126.htm">
              <w:r>
                <w:rPr>
                  <w:rStyle w:val="InternetLink"/>
                  <w:rFonts w:ascii="Times New Roman;serif" w:hAnsi="Times New Roman;serif"/>
                  <w:b w:val="false"/>
                  <w:color w:val="0000FF"/>
                  <w:sz w:val="18"/>
                  <w:u w:val="single"/>
                </w:rPr>
                <w:t>Certification of Chief Executive Officer and Chief Financial Officer pursuant to Section 906 of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Crown Castle Inc. Quarterly Report on Form 10-Q for the quarter ended March 31, 2026, formatted in Inline XBRL: (i) Condensed Consolidated Balance Sheet, (ii) Condensed Consolidated Statement of Operations and Comprehensive Income (Loss), (iii) Condensed Consolidated Statement of Cash Flows, (iv) Condensed Consolidated Statement of Equity, and (v) Notes to Condensed Consolidated Financial Statements, tagged as blocks of text and including detailed tags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cover page from Crown Castle Inc. Quarterly Report on Form 10-Q for the quarter ended March 31, 2026, formatted in Inline XBRL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Certain portions of this exhibit have been omitted in accordance with Item 601(a)(5) and Item 601(b)(2) of Regulation S-K, as applicable. The registrant agrees to furnish supplementally the omitted portions of this exhibit to the Securities and Exchange Commission upon its request.</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6"/>
        </w:rPr>
        <w:t>Furnished herewith.</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0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7003"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336"/>
        <w:gridCol w:w="336"/>
        <w:gridCol w:w="336"/>
        <w:gridCol w:w="1161"/>
        <w:gridCol w:w="1161"/>
        <w:gridCol w:w="16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169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CROWN CASTLE INC.</w:t>
            </w:r>
          </w:p>
        </w:tc>
      </w:tr>
      <w:tr>
        <w:trPr/>
        <w:tc>
          <w:tcPr>
            <w:tcW w:w="16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S</w:t>
            </w:r>
            <w:r>
              <w:rPr>
                <w:rFonts w:ascii="Times New Roman;serif" w:hAnsi="Times New Roman;serif"/>
                <w:b w:val="false"/>
                <w:color w:val="000000"/>
                <w:sz w:val="16"/>
              </w:rPr>
              <w:t xml:space="preserve">UNIT </w:t>
            </w:r>
            <w:r>
              <w:rPr>
                <w:rFonts w:ascii="Times New Roman;serif" w:hAnsi="Times New Roman;serif"/>
                <w:b w:val="false"/>
                <w:color w:val="000000"/>
                <w:sz w:val="20"/>
              </w:rPr>
              <w:t>S</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ATEL</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Sunit S. Patel</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R</w:t>
            </w:r>
            <w:r>
              <w:rPr>
                <w:rFonts w:ascii="Times New Roman;serif" w:hAnsi="Times New Roman;serif"/>
                <w:b w:val="false"/>
                <w:color w:val="000000"/>
                <w:sz w:val="16"/>
              </w:rPr>
              <w:t>OBERT</w:t>
            </w:r>
            <w:r>
              <w:rPr>
                <w:color w:val="000000"/>
              </w:rPr>
              <w:t xml:space="preserve"> </w:t>
            </w:r>
            <w:r>
              <w:rPr>
                <w:rFonts w:ascii="Times New Roman;serif" w:hAnsi="Times New Roman;serif"/>
                <w:b w:val="false"/>
                <w:color w:val="000000"/>
                <w:sz w:val="20"/>
              </w:rPr>
              <w:t>S. C</w:t>
            </w:r>
            <w:r>
              <w:rPr>
                <w:rFonts w:ascii="Times New Roman;serif" w:hAnsi="Times New Roman;serif"/>
                <w:b w:val="false"/>
                <w:color w:val="000000"/>
                <w:sz w:val="16"/>
              </w:rPr>
              <w:t>OLLINS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Robert S. Collins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Vice President and Controller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Accounting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RESTRICTED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(2022 Long-Term Incentive Plan)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This Restricted Stock Unit Agreement (“Agreement”)</w:t>
      </w:r>
      <w:r>
        <w:rPr>
          <w:color w:val="000000"/>
        </w:rPr>
        <w:t xml:space="preserve"> </w:t>
      </w:r>
      <w:r>
        <w:rPr>
          <w:rFonts w:ascii="Times New Roman;serif" w:hAnsi="Times New Roman;serif"/>
          <w:b w:val="false"/>
          <w:color w:val="000000"/>
          <w:sz w:val="24"/>
        </w:rPr>
        <w:t>is made effective as of _____________, ______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xml:space="preserve">), between </w:t>
      </w:r>
      <w:r>
        <w:rPr>
          <w:rFonts w:ascii="Times New Roman;serif" w:hAnsi="Times New Roman;serif"/>
          <w:b/>
          <w:color w:val="000000"/>
          <w:sz w:val="24"/>
        </w:rPr>
        <w:t>CROWN CASTLE INC.</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 Delaware corporation, and _____________________</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Holder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Holder has been serving as an employee or consultant of the Company or one of its Affiliates. In recognition of service and in order to encourage Holder to remain with the Company or its Affiliates (“</w:t>
      </w:r>
      <w:r>
        <w:rPr>
          <w:rFonts w:ascii="Times New Roman;serif" w:hAnsi="Times New Roman;serif"/>
          <w:b w:val="false"/>
          <w:color w:val="000000"/>
          <w:sz w:val="24"/>
          <w:u w:val="single"/>
        </w:rPr>
        <w:t>Group</w:t>
      </w:r>
      <w:r>
        <w:rPr>
          <w:color w:val="000000"/>
        </w:rPr>
        <w:t>”</w:t>
      </w:r>
      <w:r>
        <w:rPr>
          <w:rFonts w:ascii="Times New Roman;serif" w:hAnsi="Times New Roman;serif"/>
          <w:b w:val="false"/>
          <w:color w:val="000000"/>
          <w:sz w:val="24"/>
        </w:rPr>
        <w:t>) and devote Holder’s best efforts to the Group’s affairs, thereby advancing the interests of the Company and its stockholders, the Company and Holder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rPr>
        <w:t>Issuance of Restricted Stock Units</w:t>
      </w:r>
      <w:r>
        <w:rPr>
          <w:rFonts w:ascii="Times New Roman;serif" w:hAnsi="Times New Roman;serif"/>
          <w:b w:val="false"/>
          <w:color w:val="000000"/>
          <w:sz w:val="24"/>
        </w:rPr>
        <w:t>. Upon the execution and return of this Agreement and for consideration from Holder to the Company in the form of services to the Group, the fair market value of which is at least equal to $.01 per each restricted stock unit granted pursuant to the 2022 Plan (defined below) (“</w:t>
      </w:r>
      <w:r>
        <w:rPr>
          <w:rFonts w:ascii="Times New Roman;serif" w:hAnsi="Times New Roman;serif"/>
          <w:b w:val="false"/>
          <w:color w:val="000000"/>
          <w:sz w:val="24"/>
          <w:u w:val="single"/>
        </w:rPr>
        <w:t>Unit</w:t>
      </w:r>
      <w:r>
        <w:rPr>
          <w:color w:val="000000"/>
        </w:rPr>
        <w:t>”</w:t>
      </w:r>
      <w:r>
        <w:rPr>
          <w:rFonts w:ascii="Times New Roman;serif" w:hAnsi="Times New Roman;serif"/>
          <w:b w:val="false"/>
          <w:color w:val="000000"/>
          <w:sz w:val="24"/>
        </w:rPr>
        <w:t>) which may be issued hereunder, the Company shall grant to Holder the number of Units listed on the exhibit(s) (each, an “</w:t>
      </w:r>
      <w:r>
        <w:rPr>
          <w:rFonts w:ascii="Times New Roman;serif" w:hAnsi="Times New Roman;serif"/>
          <w:b w:val="false"/>
          <w:color w:val="000000"/>
          <w:sz w:val="24"/>
          <w:u w:val="single"/>
        </w:rPr>
        <w:t>Exhibit</w:t>
      </w:r>
      <w:r>
        <w:rPr>
          <w:color w:val="000000"/>
        </w:rPr>
        <w:t>”</w:t>
      </w:r>
      <w:r>
        <w:rPr>
          <w:rFonts w:ascii="Times New Roman;serif" w:hAnsi="Times New Roman;serif"/>
          <w:b w:val="false"/>
          <w:color w:val="000000"/>
          <w:sz w:val="24"/>
        </w:rPr>
        <w:t>) attached to this Agreement</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Holder’s Units</w:t>
      </w:r>
      <w:r>
        <w:rPr>
          <w:color w:val="000000"/>
        </w:rPr>
        <w:t>”</w:t>
      </w:r>
      <w:r>
        <w:rPr>
          <w:rFonts w:ascii="Times New Roman;serif" w:hAnsi="Times New Roman;serif"/>
          <w:b w:val="false"/>
          <w:color w:val="000000"/>
          <w:sz w:val="24"/>
        </w:rPr>
        <w:t>), with each such Unit representing the right to potentially receive one share of $.01 par value Common Stock of the Company (“</w:t>
      </w:r>
      <w:r>
        <w:rPr>
          <w:rFonts w:ascii="Times New Roman;serif" w:hAnsi="Times New Roman;serif"/>
          <w:b w:val="false"/>
          <w:color w:val="000000"/>
          <w:sz w:val="24"/>
          <w:u w:val="single"/>
        </w:rPr>
        <w:t>Stock</w:t>
      </w:r>
      <w:r>
        <w:rPr>
          <w:color w:val="000000"/>
        </w:rPr>
        <w:t>”</w:t>
      </w:r>
      <w:r>
        <w:rPr>
          <w:rFonts w:ascii="Times New Roman;serif" w:hAnsi="Times New Roman;serif"/>
          <w:b w:val="false"/>
          <w:color w:val="000000"/>
          <w:sz w:val="24"/>
        </w:rPr>
        <w:t>), subject to all of the terms set forth in this Agreement and in the Crown Castle Inc. 2022 Long-Term Incentive Plan, as may be amended from time to time (“</w:t>
      </w:r>
      <w:r>
        <w:rPr>
          <w:rFonts w:ascii="Times New Roman;serif" w:hAnsi="Times New Roman;serif"/>
          <w:b w:val="false"/>
          <w:color w:val="000000"/>
          <w:sz w:val="24"/>
          <w:u w:val="single"/>
        </w:rPr>
        <w:t>2022 Plan</w:t>
      </w:r>
      <w:r>
        <w:rPr>
          <w:color w:val="000000"/>
        </w:rPr>
        <w:t>”</w:t>
      </w:r>
      <w:r>
        <w:rPr>
          <w:rFonts w:ascii="Times New Roman;serif" w:hAnsi="Times New Roman;serif"/>
          <w:b w:val="false"/>
          <w:color w:val="000000"/>
          <w:sz w:val="24"/>
        </w:rPr>
        <w:t>), which is incorporated herein by reference as a part of this Agreement. The terms “</w:t>
      </w:r>
      <w:r>
        <w:rPr>
          <w:rFonts w:ascii="Times New Roman;serif" w:hAnsi="Times New Roman;serif"/>
          <w:b w:val="false"/>
          <w:color w:val="000000"/>
          <w:sz w:val="24"/>
          <w:u w:val="single"/>
        </w:rPr>
        <w:t>Affiliate</w:t>
      </w:r>
      <w:r>
        <w:rPr>
          <w:rFonts w:ascii="Times New Roman;serif" w:hAnsi="Times New Roman;serif"/>
          <w:b w:val="false"/>
          <w:color w:val="000000"/>
          <w:sz w:val="24"/>
        </w:rPr>
        <w:t>,”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Dividend Equivalent</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Performance Award</w:t>
      </w:r>
      <w:r>
        <w:rPr>
          <w:color w:val="000000"/>
        </w:rPr>
        <w:t xml:space="preserve">” </w:t>
      </w:r>
      <w:r>
        <w:rPr>
          <w:rFonts w:ascii="Times New Roman;serif" w:hAnsi="Times New Roman;serif"/>
          <w:b w:val="false"/>
          <w:color w:val="000000"/>
          <w:sz w:val="24"/>
        </w:rPr>
        <w:t xml:space="preserve">shall have the meanings assigned to them in the 2022 Plan. If a Performance Measure (as hereinafter defined) is designated on an attached Exhibit, then the Units subject to that Exhibit are hereby designated as Performance Awards for purposes of Article IX of the 2022 Plan. </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rPr>
        <w:t>Limitations on Rights Associated with Units and Dividend Equivalents</w:t>
      </w:r>
      <w:r>
        <w:rPr>
          <w:rFonts w:ascii="Times New Roman;serif" w:hAnsi="Times New Roman;serif"/>
          <w:b w:val="false"/>
          <w:color w:val="000000"/>
          <w:sz w:val="24"/>
        </w:rPr>
        <w:t>. The Units and Dividend Equivalents granted pursuant to this Agreement are bookkeeping entries only. The Holder as to the Units shall have no rights as a stockholder of the Company, including no dividend rights (other than those described in Section 7 hereof with regard to Dividend Equivalents) and no voting rights.</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rPr>
        <w:t>Transfer and Forfeiture Restrictions</w:t>
      </w:r>
      <w:r>
        <w:rPr>
          <w:rFonts w:ascii="Times New Roman;serif" w:hAnsi="Times New Roman;serif"/>
          <w:b w:val="false"/>
          <w:color w:val="000000"/>
          <w:sz w:val="24"/>
        </w:rPr>
        <w:t>. The Holder’s Units shall not be sold, assigned, pledged, or otherwise transferred except as provided herein (including the 2022 Plan), and Holder shall be obligated to forfeit and surrender, without further consideration from the Company, such Units (to the extent then subject to the Forfeiture Restrictions) to the Company in accordance with this Agreement. The obligation to forfeit and surrender Units to the Company is referred to herein as the “</w:t>
      </w:r>
      <w:r>
        <w:rPr>
          <w:rFonts w:ascii="Times New Roman;serif" w:hAnsi="Times New Roman;serif"/>
          <w:b w:val="false"/>
          <w:color w:val="000000"/>
          <w:sz w:val="24"/>
          <w:u w:val="single"/>
        </w:rPr>
        <w:t>Forfeiture Restrictions</w:t>
      </w:r>
      <w:r>
        <w:rPr>
          <w:rFonts w:ascii="Times New Roman;serif" w:hAnsi="Times New Roman;serif"/>
          <w:b w:val="false"/>
          <w:color w:val="000000"/>
          <w:sz w:val="24"/>
        </w:rPr>
        <w:t>.” The transfer restrictions and Forfeiture Restrictions shall be binding upon and enforceable against any permitted transferee of Units.</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rPr>
        <w:t>Measures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otherwise provided in Section 5 hereof, the lapsing of the Forfeiture Restrictions shall be contingent on the Holder and the Group, as applicable, meeting the service and, if applicable, performance conditions described on the applicable Exhibit attached to this Agreement. The Holder shall be required to complete a designated period of service (“</w:t>
      </w:r>
      <w:r>
        <w:rPr>
          <w:rFonts w:ascii="Times New Roman;serif" w:hAnsi="Times New Roman;serif"/>
          <w:b w:val="false"/>
          <w:color w:val="000000"/>
          <w:sz w:val="24"/>
          <w:u w:val="single"/>
        </w:rPr>
        <w:t>Time Measure</w:t>
      </w:r>
      <w:r>
        <w:rPr>
          <w:color w:val="000000"/>
        </w:rPr>
        <w:t>”</w:t>
      </w:r>
      <w:r>
        <w:rPr>
          <w:rFonts w:ascii="Times New Roman;serif" w:hAnsi="Times New Roman;serif"/>
          <w:b w:val="false"/>
          <w:color w:val="000000"/>
          <w:sz w:val="24"/>
        </w:rPr>
        <w:t>) which shall begin on the Grant Date and end on the date specified in the applicable Exhibit attached (“</w:t>
      </w:r>
      <w:r>
        <w:rPr>
          <w:rFonts w:ascii="Times New Roman;serif" w:hAnsi="Times New Roman;serif"/>
          <w:b w:val="false"/>
          <w:color w:val="000000"/>
          <w:sz w:val="24"/>
          <w:u w:val="single"/>
        </w:rPr>
        <w:t>Time Vesting Date</w:t>
      </w:r>
      <w:r>
        <w:rPr>
          <w:color w:val="000000"/>
        </w:rPr>
        <w:t>”</w:t>
      </w:r>
      <w:r>
        <w:rPr>
          <w:rFonts w:ascii="Times New Roman;serif" w:hAnsi="Times New Roman;serif"/>
          <w:b w:val="false"/>
          <w:color w:val="000000"/>
          <w:sz w:val="24"/>
        </w:rPr>
        <w:t>). In addition, to the extent provided in an attached Exhibit, the Holder or the Group may be required to attain one or more performance goals (each, if applicable, a “</w:t>
      </w:r>
      <w:r>
        <w:rPr>
          <w:rFonts w:ascii="Times New Roman;serif" w:hAnsi="Times New Roman;serif"/>
          <w:b w:val="false"/>
          <w:color w:val="000000"/>
          <w:sz w:val="24"/>
          <w:u w:val="single"/>
        </w:rPr>
        <w:t>Performance Measure</w:t>
      </w:r>
      <w:r>
        <w:rPr>
          <w:color w:val="000000"/>
        </w:rPr>
        <w:t>”</w:t>
      </w:r>
      <w:r>
        <w:rPr>
          <w:rFonts w:ascii="Times New Roman;serif" w:hAnsi="Times New Roman;serif"/>
          <w:b w:val="false"/>
          <w:color w:val="000000"/>
          <w:sz w:val="24"/>
        </w:rPr>
        <w:t>, and together with a Time Measure, the “</w:t>
      </w:r>
      <w:r>
        <w:rPr>
          <w:rFonts w:ascii="Times New Roman;serif" w:hAnsi="Times New Roman;serif"/>
          <w:b w:val="false"/>
          <w:color w:val="000000"/>
          <w:sz w:val="24"/>
          <w:u w:val="single"/>
        </w:rPr>
        <w:t>Measures</w:t>
      </w:r>
      <w:r>
        <w:rPr>
          <w:color w:val="000000"/>
        </w:rPr>
        <w:t>”</w:t>
      </w:r>
      <w:r>
        <w:rPr>
          <w:rFonts w:ascii="Times New Roman;serif" w:hAnsi="Times New Roman;serif"/>
          <w:b w:val="false"/>
          <w:color w:val="000000"/>
          <w:sz w:val="24"/>
        </w:rPr>
        <w:t>), which shall be measured over the designated period of time (“</w:t>
      </w:r>
      <w:r>
        <w:rPr>
          <w:rFonts w:ascii="Times New Roman;serif" w:hAnsi="Times New Roman;serif"/>
          <w:b w:val="false"/>
          <w:color w:val="000000"/>
          <w:sz w:val="24"/>
          <w:u w:val="single"/>
        </w:rPr>
        <w:t>Performance Period</w:t>
      </w:r>
      <w:r>
        <w:rPr>
          <w:color w:val="000000"/>
        </w:rPr>
        <w:t>”</w:t>
      </w:r>
      <w:r>
        <w:rPr>
          <w:rFonts w:ascii="Times New Roman;serif" w:hAnsi="Times New Roman;serif"/>
          <w:b w:val="false"/>
          <w:color w:val="000000"/>
          <w:sz w:val="24"/>
        </w:rPr>
        <w:t>), as described on such Exhibit. The date on which the Time Measure and, if applicable, the Performance Measure, are both satisfied shall be the “</w:t>
      </w:r>
      <w:r>
        <w:rPr>
          <w:rFonts w:ascii="Times New Roman;serif" w:hAnsi="Times New Roman;serif"/>
          <w:b w:val="false"/>
          <w:color w:val="000000"/>
          <w:sz w:val="24"/>
          <w:u w:val="single"/>
        </w:rPr>
        <w:t>Measurement Date</w:t>
      </w:r>
      <w:r>
        <w:rPr>
          <w:color w:val="000000"/>
        </w:rPr>
        <w:t xml:space="preserve">” </w:t>
      </w:r>
      <w:r>
        <w:rPr>
          <w:rFonts w:ascii="Times New Roman;serif" w:hAnsi="Times New Roman;serif"/>
          <w:b w:val="false"/>
          <w:color w:val="000000"/>
          <w:sz w:val="24"/>
        </w:rPr>
        <w:t>for Holder’s Units, subject to such measurement. The Time Measure, Time Vesting Date, Measurement Date and, if applicable, the Performance Period and Performance Measures for this grant of Units are described on the applicable Exhibit attached to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In addition to the conditions set forth in Section 4(a), the lapsing of any Forfeiture Restrictions shall be contingent upon the Holder having complied (as determined by the Company) with all agreements (including any confidentiality, non-competition, non-solicitation and non-disparagement agreements) entered into by and between the Holder and any member of the Group on and prior to the date such Forfeiture Restrictions would otherwise be expected to lapse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As soon as administratively feasible after the designated Measurement Date for a Unit, (1) if that Unit is subject to a Performance Measure, the Committee shall certify in writing the extent to which such Performance Measure has been satisfied, (2) the Company shall calculate the number of Units with respect to which the Forfeiture Restrictions shall lapse pursuant to the terms of the applicable Exhibit attached (“</w:t>
      </w:r>
      <w:r>
        <w:rPr>
          <w:rFonts w:ascii="Times New Roman;serif" w:hAnsi="Times New Roman;serif"/>
          <w:b w:val="false"/>
          <w:color w:val="000000"/>
          <w:sz w:val="24"/>
          <w:u w:val="single"/>
        </w:rPr>
        <w:t>Vested Units</w:t>
      </w:r>
      <w:r>
        <w:rPr>
          <w:color w:val="000000"/>
        </w:rPr>
        <w:t>”</w:t>
      </w:r>
      <w:r>
        <w:rPr>
          <w:rFonts w:ascii="Times New Roman;serif" w:hAnsi="Times New Roman;serif"/>
          <w:b w:val="false"/>
          <w:color w:val="000000"/>
          <w:sz w:val="24"/>
        </w:rPr>
        <w:t>), and (3) the Company shall distribute to the Holder one share of Stock (“</w:t>
      </w:r>
      <w:r>
        <w:rPr>
          <w:rFonts w:ascii="Times New Roman;serif" w:hAnsi="Times New Roman;serif"/>
          <w:b w:val="false"/>
          <w:color w:val="000000"/>
          <w:sz w:val="24"/>
          <w:u w:val="single"/>
        </w:rPr>
        <w:t>Distributed Stock</w:t>
      </w:r>
      <w:r>
        <w:rPr>
          <w:color w:val="000000"/>
        </w:rPr>
        <w:t>”</w:t>
      </w:r>
      <w:r>
        <w:rPr>
          <w:rFonts w:ascii="Times New Roman;serif" w:hAnsi="Times New Roman;serif"/>
          <w:b w:val="false"/>
          <w:color w:val="000000"/>
          <w:sz w:val="24"/>
        </w:rPr>
        <w:t>) in exchange for each Vested Unit in accordance with the timing restrictions of Section 9 hereof, and upon such exchange the Vested Units shall be automatically cancelled.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Any Holder’s Units with respect to which Forfeiture Restrictions cannot lapse pursuant to this Section 4 (including any exceptions pursuant to Section 5 hereof) shall be forfeited and surrendered to the Company by Holder.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rPr>
        <w:t>Termination of Employment or Service</w:t>
      </w:r>
      <w:r>
        <w:rPr>
          <w:rFonts w:ascii="Times New Roman;serif" w:hAnsi="Times New Roman;serif"/>
          <w:b w:val="false"/>
          <w:color w:val="000000"/>
          <w:sz w:val="24"/>
        </w:rPr>
        <w:t xml:space="preserve">. If Holder’s employment with the Group terminates or is terminated prior to the applicable Measurement Date, then the remaining Holder’s Units shall be forfeited and surrendered to the Company; provided, however, that, in such event, the Committee may (subject to the terms of the 2022 Plan), in its sole discretion, cause the Forfeiture Restrictions to lapse as to all or a part of the Holder’s Units and, subject to the timing restrictions of Section 9 hereof, cause Distributed Stock to be issued and distributed with respect to such Units as if they were Vested Units subject to such terms set by the Committee, which may include satisfaction of the Measures that would otherwise be applicable to such Units if Holder’s employment with the Group had continued. For purposes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5, Holder’s services as a consultant or member of the board of directors (or a similar position) of the Group shall be considered employment with the Group (notwithstanding the foregoing, a Holder who is a consultant of the Group shall be and remain an independent contractor of the Group for all purposes, and this Agreement shall not be construed to create an employment relationship). In the event Holder’s employment with the Group terminates or is terminated under circumstances constituting retirement under any then-existing Board-approved retirement policy or program, including the Company’s Extended Service Separation Program (if then in effect), the lapse of the Forfeiture Restrictions with respect to or the forfeiture of Holder’s Units, as applicable, shall be determined in accordance with such retirement policy or program.</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rPr>
        <w:t>Disclosure of Units</w:t>
      </w:r>
      <w:r>
        <w:rPr>
          <w:rFonts w:ascii="Times New Roman;serif" w:hAnsi="Times New Roman;serif"/>
          <w:b w:val="false"/>
          <w:color w:val="000000"/>
          <w:sz w:val="24"/>
        </w:rPr>
        <w:t>. If Holder discloses or discusses in any manner this Agreement prior to the applicable Measurement Date to or with any other person (including any other employee or consultant of the Group), then the Holder’s Units may be forfeited and the Holder’s Units may be surrendered to the Company; provided, the above restriction is not applicable to the extent of reasonable disclosure (a) to an advisor to the Holder (e.g., accountant, financial planner) that has a legitimate reason to have such information and that is subject to an obligation to maintain the confidentiality of such information, (b) required by applicable law including any applicable securities law, (c) to an employee of the Group specifically involved with the administration of this Agreement, or (d) to Holder’s spouse. Holder acknowledges and agrees that nothing in this Agreement is intended to, nor does it, interfere with or restrain Holder’s right to share or discuss information regarding his/her wages, hours, or other terms and conditions of employment in the exercise of any rights provided by either (x) the National Labor Relations Act, or (y) any applicable state statute or regulation.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rPr>
        <w:t>Dividend Equivalents.</w:t>
      </w:r>
      <w:r>
        <w:rPr>
          <w:color w:val="000000"/>
        </w:rPr>
        <w:t xml:space="preserve"> </w:t>
      </w:r>
      <w:r>
        <w:rPr>
          <w:rFonts w:ascii="Times New Roman;serif" w:hAnsi="Times New Roman;serif"/>
          <w:b w:val="false"/>
          <w:color w:val="000000"/>
          <w:sz w:val="24"/>
        </w:rPr>
        <w:t>While the Holder’s Units are outstanding and still subject to a Forfeiture Restriction, the Company will accrue Dividend Equivalents on behalf of the Holder. The Dividend Equivalents paid with respect to each Holder’s Unit will be equal to the sum of the cash dividends declared and paid by the Company with respect to each share of Distributed Stock while the Holder’s Units are outstanding. No interest will accrue on the Dividend Equivalents. The Dividend Equivalents with respect to a Holder’s Unit shall be earned and distributed in cash generally at or shortly after the time such Holder’s Unit converts to a share of Distributed Stock and in accordance with Section 9 hereof. Any and all Dividend Equivalents with respect to the Holder’s Units that are forfeited shall also be forfeited and not deemed earned by nor distributed to Holder. Following lapsing of the Forfeiture Restrictions with respect to Holder’s Units and pending distribution of Distributed Stock in respect thereto, Holder shall be entitled to receive Dividend Equivalents relating to such Holder’s Units to the extent, if any, that the Holder is not entitled to receive with respect to the Distributed Stock dividends which would otherwise be paid to Holder during such interim period if the Distributed Stock had been so distributed, but in no event shall Holder be entitled to receive both a Dividend Equivalent and a dividend for such interim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rPr>
        <w:t>Community Interest of Spouse</w:t>
      </w:r>
      <w:r>
        <w:rPr>
          <w:rFonts w:ascii="Times New Roman;serif" w:hAnsi="Times New Roman;serif"/>
          <w:b w:val="false"/>
          <w:color w:val="000000"/>
          <w:sz w:val="24"/>
        </w:rPr>
        <w:t xml:space="preserve">. The community interest, if any, of any spouse of Holder in any of the Holder’s Units, Dividend Equivalents, and Distributed Stock shall be subject to all of the terms of this Agreement, and shall be forfeited and surrendered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upon the occurrence of any of the events requiring Holder’s interest in such Holder’s Units or Dividend Equivalents to be so forfeited and surrendered pursuant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rPr>
        <w:t>Internal Revenue Code §409A Compliance</w:t>
      </w:r>
      <w:r>
        <w:rPr>
          <w:rFonts w:ascii="Times New Roman;serif" w:hAnsi="Times New Roman;serif"/>
          <w:b w:val="false"/>
          <w:color w:val="000000"/>
          <w:sz w:val="24"/>
        </w:rPr>
        <w:t>. This Agreement is intended to satisfy the requirements of Section 409A of the Internal Revenue Code of 1986, as amended, and the rules and regulations thereunder, and shall be interpreted consistent with such intent. Any Distributed Stock or Dividend Equivalents that become deliverable or payable to the Holder hereunder shall be delivered to the Holder no later than the end of the calendar year in which the designated Measurement Date occurs. Notwithstanding the foregoing, in the event of a deemed lapse of any Forfeiture Restriction under the provisions of Section 5, delivery of Distributed Stock and Dividend Equivalents shall be made no earlier than the designated Measurement Date otherwise applicable hereunder, and not later than the last day of the calendar year containing the designated Measurement Date. In the event that all or part of the Units granted pursuant to this Agreement provide for a deferral of compensation within the meaning of Section 409A, then notwithstanding anything to the contrary contained herein, in the event that Holder is a “specified employee” (as defined under Section 409A) when Holder becomes entitled to a payment or settlement under this Award which is subject to Section 409A on account of a “separation from service” (as defined under Section 409A), to the extent required by the Code, such payment shall not occur until the date that is six months plus one day from the date of such separation from service. Any amount that is otherwise payable within the six-month period described herein will be aggregated and paid in a lump sum without interest. Further, for purposes of Section 409A, each payment or settlement of any portion of the Units under this Agreement shall be treated as a separate payment of compensation.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rPr>
        <w:t>Withholding of Tax</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To the extent that any event pursuant to this Agreement, other than any event contemplated in Section 10(b) below, relating to the Holder’s Units or Distributed Stock results in the incurrence of compensation or other taxable income by the Holder (including the Holder’s Spouse) that is subject to tax withholding by the Company, the Holder must satisfy such tax withholding obligation by electing, prior to the delivery of Distributed Stock, to either (1) deliver to the Company an amount of cash equal to the tax withholding amount required under applicable tax laws or regulations, or (2) allow the Company to deduct from the number of shares of Distributed Stock that would have otherwise been delivered to the Holder a number of such shares having a fair market value equal to such tax withholding amount required under applicable tax laws or regulations.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To the extent that any event pursuant to this Agreement relating to the Dividend Equivalents deemed to be earned results in the incurrence of compensation or other taxable income by the Holder (including the Holder’s Spouse) that is subject to withholding by the Company, the Holder must satisfy such tax withholding obligation with such amount of cash as the Company may require to meet its obligation under applicable tax laws or regulations.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Regardless of any action of the Company, the Holder acknowledges that the Holder is ultimately liable for such tax withholding obligation. The Company 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required to deliver Distributed Stock or cash in respect of Dividend Equivalents under this Agreement until such liability is satisfied.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the extent that Holder is treated by Company as a consultant for tax purposes, Holder shall (1) pay all taxes arising from any event relating to the Holder’s Units or Distributed Stock that results in the incurrence of compensation or other taxable income by the Holder and (2) indemnify the Group and hold the Group harmless from any liability resulting from or relating to any and all taxes, liens, duties, assessments, deductions and expenses (including any penalty, interest or other charge that may be levied with respect thereto) as a result of Holder’s late payment, insufficient payment or failure to pay any taxes.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Binding Effect</w:t>
      </w:r>
      <w:r>
        <w:rPr>
          <w:rFonts w:ascii="Times New Roman;serif" w:hAnsi="Times New Roman;serif"/>
          <w:b w:val="false"/>
          <w:color w:val="000000"/>
          <w:sz w:val="24"/>
        </w:rPr>
        <w:t>. This Agreement shall be binding upon and inure to the benefit of any successors to the Company and all persons lawfully claiming under Holder.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Contract Terms</w:t>
      </w:r>
      <w:r>
        <w:rPr>
          <w:rFonts w:ascii="Times New Roman;serif" w:hAnsi="Times New Roman;serif"/>
          <w:b w:val="false"/>
          <w:color w:val="000000"/>
          <w:sz w:val="24"/>
        </w:rPr>
        <w:t>. Notwithstanding the terms of this Agreement, if the Holder has entered into a separate written agreement with the Company which specifically affects the Units issued hereunder, the terms of such separate agreement shall control over any inconsistent terms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Modification</w:t>
      </w:r>
      <w:r>
        <w:rPr>
          <w:rFonts w:ascii="Times New Roman;serif" w:hAnsi="Times New Roman;serif"/>
          <w:b w:val="false"/>
          <w:color w:val="000000"/>
          <w:sz w:val="24"/>
        </w:rPr>
        <w:t>. Any modification of this Agreement will be effective only if it is in writing and signed by each party whose rights hereunder are affected thereby, except to the extent that such modification occurs pursuant to Section XIII of the 2022 Plan or as a result of an amendment of the 2022 Plan made in accordance with Section XIV of the 2022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Governing Law</w:t>
      </w:r>
      <w:r>
        <w:rPr>
          <w:rFonts w:ascii="Times New Roman;serif" w:hAnsi="Times New Roman;serif"/>
          <w:b w:val="false"/>
          <w:color w:val="000000"/>
          <w:sz w:val="24"/>
        </w:rPr>
        <w:t xml:space="preserve">. </w:t>
      </w:r>
      <w:r>
        <w:rPr>
          <w:rFonts w:ascii="Times New Roman;serif" w:hAnsi="Times New Roman;serif"/>
          <w:b/>
          <w:color w:val="000000"/>
          <w:sz w:val="24"/>
        </w:rPr>
        <w:t>This Agreement shall be governed by, and construed in accordance with, the laws of the State of Texas, without regard to conflicts of laws principles thereof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Interpretation</w:t>
      </w:r>
      <w:r>
        <w:rPr>
          <w:rFonts w:ascii="Times New Roman;serif" w:hAnsi="Times New Roman;serif"/>
          <w:b w:val="false"/>
          <w:color w:val="000000"/>
          <w:sz w:val="24"/>
        </w:rPr>
        <w:t>. Unless otherwise specified or the context otherwise requires, as used herein, (a) the term “including”, and any variation thereof, means “including, without limitation,” (b) the word “or” shall not be exclusive, and (c) a reference to the “terms” of an agreement, instrument or document or “terms” established by the Committee shall be a reference to “terms, provisions, conditions and restrictions.”</w: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Company has executed this Agreement by its duly authorized officer and Holder has executed this Agreement, effective as of the Grant Date.</w:t>
      </w:r>
    </w:p>
    <w:tbl>
      <w:tblPr>
        <w:tblW w:w="2742" w:type="dxa"/>
        <w:jc w:val="left"/>
        <w:tblInd w:w="0" w:type="dxa"/>
        <w:tblLayout w:type="fixed"/>
        <w:tblCellMar>
          <w:top w:w="28" w:type="dxa"/>
          <w:left w:w="28" w:type="dxa"/>
          <w:bottom w:w="28" w:type="dxa"/>
          <w:right w:w="28" w:type="dxa"/>
        </w:tblCellMar>
      </w:tblPr>
      <w:tblGrid>
        <w:gridCol w:w="325"/>
        <w:gridCol w:w="287"/>
        <w:gridCol w:w="287"/>
        <w:gridCol w:w="287"/>
        <w:gridCol w:w="287"/>
        <w:gridCol w:w="287"/>
        <w:gridCol w:w="287"/>
        <w:gridCol w:w="287"/>
        <w:gridCol w:w="408"/>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74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CROWN CASTLE INC.</w:t>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861"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0"/>
              <w:jc w:val="both"/>
              <w:rPr/>
            </w:pPr>
            <w:r>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0"/>
              <w:jc w:val="both"/>
              <w:rPr/>
            </w:pPr>
            <w:r>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w:t>
            </w:r>
          </w:p>
        </w:tc>
        <w:tc>
          <w:tcPr>
            <w:tcW w:w="86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0"/>
              <w:jc w:val="both"/>
              <w:rPr/>
            </w:pPr>
            <w:r>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0"/>
        <w:jc w:val="right"/>
        <w:rPr/>
      </w:pPr>
      <w:r>
        <w:rPr>
          <w:rFonts w:ascii="Times New Roman;serif" w:hAnsi="Times New Roman;serif"/>
          <w:b/>
          <w:i/>
          <w:color w:val="000000"/>
          <w:sz w:val="24"/>
        </w:rPr>
        <w:t>GRANT ID:</w:t>
      </w:r>
      <w:r>
        <w:rPr>
          <w:color w:val="000000"/>
        </w:rPr>
        <w:t xml:space="preserve"> </w:t>
      </w:r>
      <w:r>
        <w:rPr>
          <w:rFonts w:ascii="Times New Roman;serif" w:hAnsi="Times New Roman;serif"/>
          <w:b/>
          <w:color w:val="000000"/>
          <w:sz w:val="24"/>
        </w:rPr>
        <w:t>___________________</w:t>
      </w:r>
      <w:r>
        <w:rPr>
          <w:color w:val="000000"/>
        </w:rPr>
        <w:t xml:space="preserve"> </w:t>
      </w:r>
    </w:p>
    <w:p>
      <w:pPr>
        <w:pStyle w:val="TextBody"/>
        <w:bidi w:val="0"/>
        <w:spacing w:lineRule="auto" w:line="288" w:before="0" w:after="0"/>
        <w:jc w:val="right"/>
        <w:rPr/>
      </w:pPr>
      <w:r>
        <w:rPr>
          <w:rFonts w:ascii="Times New Roman;serif" w:hAnsi="Times New Roman;serif"/>
          <w:b/>
          <w:i/>
          <w:color w:val="000000"/>
          <w:sz w:val="24"/>
        </w:rPr>
        <w:t>GRANT DATE:</w:t>
      </w:r>
      <w:r>
        <w:rPr>
          <w:color w:val="000000"/>
        </w:rPr>
        <w:t xml:space="preserve"> </w:t>
      </w:r>
      <w:r>
        <w:rPr>
          <w:rFonts w:ascii="Times New Roman;serif" w:hAnsi="Times New Roman;serif"/>
          <w:b/>
          <w:color w:val="000000"/>
          <w:sz w:val="24"/>
        </w:rPr>
        <w:t>___________, 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Measures Applicable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Restricted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(2022 Long-Term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Time Vesting Award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Name:            ____________________</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Number of Units:    ____________________</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of this Exhibit A shall apply to the number of Units listed above. The terms of any other Exhibit to Holder’s Restricted Stock Unit Agreement shall only apply to the Units listed on such Exhibit.</w:t>
      </w:r>
    </w:p>
    <w:p>
      <w:pPr>
        <w:pStyle w:val="TextBody"/>
        <w:bidi w:val="0"/>
        <w:spacing w:lineRule="auto" w:line="288" w:before="0" w:after="0"/>
        <w:jc w:val="both"/>
        <w:rPr/>
      </w:pPr>
      <w:r>
        <w:rPr>
          <w:color w:val="000000"/>
        </w:rPr>
        <w:t>    </w:t>
      </w:r>
      <w:r>
        <w:rPr>
          <w:rFonts w:ascii="Times New Roman;serif" w:hAnsi="Times New Roman;serif"/>
          <w:b/>
          <w:color w:val="000000"/>
          <w:sz w:val="24"/>
        </w:rPr>
        <w:t>1.    General</w:t>
      </w:r>
      <w:r>
        <w:rPr>
          <w:rFonts w:ascii="Times New Roman;serif" w:hAnsi="Times New Roman;serif"/>
          <w:b w:val="false"/>
          <w:color w:val="000000"/>
          <w:sz w:val="24"/>
        </w:rPr>
        <w:t>. The Holder’s Units subject to this Exhibit A shall become vested based on the completion of the Time Measure as outlined below.</w:t>
      </w:r>
    </w:p>
    <w:p>
      <w:pPr>
        <w:pStyle w:val="TextBody"/>
        <w:bidi w:val="0"/>
        <w:spacing w:before="0" w:after="0"/>
        <w:jc w:val="both"/>
        <w:rPr/>
      </w:pPr>
      <w:r>
        <w:rPr/>
      </w:r>
    </w:p>
    <w:p>
      <w:pPr>
        <w:pStyle w:val="TextBody"/>
        <w:bidi w:val="0"/>
        <w:spacing w:lineRule="auto" w:line="288" w:before="0" w:after="240"/>
        <w:jc w:val="both"/>
        <w:rPr/>
      </w:pPr>
      <w:r>
        <w:rPr>
          <w:color w:val="000000"/>
        </w:rPr>
        <w:t>    </w:t>
      </w:r>
      <w:r>
        <w:rPr>
          <w:rFonts w:ascii="Times New Roman;serif" w:hAnsi="Times New Roman;serif"/>
          <w:b/>
          <w:color w:val="000000"/>
          <w:sz w:val="24"/>
        </w:rPr>
        <w:t>2.    Time Measure</w:t>
      </w:r>
      <w:r>
        <w:rPr>
          <w:rFonts w:ascii="Times New Roman;serif" w:hAnsi="Times New Roman;serif"/>
          <w:b w:val="false"/>
          <w:color w:val="000000"/>
          <w:sz w:val="24"/>
        </w:rPr>
        <w:t>. The Time Measure shall be satisfied with respect to a Unit if the Holder is an employee, consultant or a member of the board of directors (or a similar position) of the Group for the period beginning on the Grant Date and ending on the applicable Time Vesting Date listed below.</w:t>
      </w:r>
    </w:p>
    <w:p>
      <w:pPr>
        <w:pStyle w:val="TextBody"/>
        <w:bidi w:val="0"/>
        <w:spacing w:lineRule="auto" w:line="288" w:before="0" w:after="240"/>
        <w:jc w:val="both"/>
        <w:rPr/>
      </w:pPr>
      <w:r>
        <w:rPr>
          <w:rFonts w:ascii="Times New Roman;serif" w:hAnsi="Times New Roman;serif"/>
          <w:b w:val="false"/>
          <w:color w:val="000000"/>
          <w:sz w:val="24"/>
          <w:u w:val="single"/>
        </w:rPr>
        <w:t>Time Vesting Date</w:t>
      </w:r>
      <w:r>
        <w:rPr>
          <w:color w:val="000000"/>
        </w:rPr>
        <w:t>        </w:t>
      </w:r>
      <w:r>
        <w:rPr>
          <w:rFonts w:ascii="Times New Roman;serif" w:hAnsi="Times New Roman;serif"/>
          <w:b w:val="false"/>
          <w:color w:val="000000"/>
          <w:sz w:val="24"/>
          <w:u w:val="single"/>
        </w:rPr>
        <w:t>Incremental Percentage</w:t>
      </w:r>
      <w:r>
        <w:rPr>
          <w:color w:val="000000"/>
        </w:rPr>
        <w:t>        </w:t>
      </w:r>
      <w:r>
        <w:rPr>
          <w:rFonts w:ascii="Times New Roman;serif" w:hAnsi="Times New Roman;serif"/>
          <w:b w:val="false"/>
          <w:color w:val="000000"/>
          <w:sz w:val="24"/>
          <w:u w:val="single"/>
        </w:rPr>
        <w:t>Aggregate Percentage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            __.__%                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            __.__%                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            __.__%                100.00%</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the Time Measure is satisfied, the designated percentage of the Holder’s Units listed above shall no longer be subject to the Forfeiture Restrictions on the designated Time Vesting Date. </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0"/>
        <w:jc w:val="right"/>
        <w:rPr/>
      </w:pPr>
      <w:r>
        <w:rPr>
          <w:rFonts w:ascii="Times New Roman;serif" w:hAnsi="Times New Roman;serif"/>
          <w:b/>
          <w:i/>
          <w:color w:val="000000"/>
          <w:sz w:val="24"/>
        </w:rPr>
        <w:t>GRANT ID:</w:t>
      </w:r>
      <w:r>
        <w:rPr>
          <w:color w:val="000000"/>
        </w:rPr>
        <w:t xml:space="preserve"> </w:t>
      </w:r>
      <w:r>
        <w:rPr>
          <w:rFonts w:ascii="Times New Roman;serif" w:hAnsi="Times New Roman;serif"/>
          <w:b/>
          <w:color w:val="000000"/>
          <w:sz w:val="24"/>
        </w:rPr>
        <w:t>______________</w:t>
      </w:r>
      <w:r>
        <w:rPr>
          <w:color w:val="000000"/>
        </w:rPr>
        <w:t xml:space="preserve"> </w:t>
      </w:r>
    </w:p>
    <w:p>
      <w:pPr>
        <w:pStyle w:val="TextBody"/>
        <w:bidi w:val="0"/>
        <w:spacing w:lineRule="auto" w:line="288" w:before="0" w:after="0"/>
        <w:jc w:val="right"/>
        <w:rPr/>
      </w:pPr>
      <w:r>
        <w:rPr>
          <w:rFonts w:ascii="Times New Roman;serif" w:hAnsi="Times New Roman;serif"/>
          <w:b/>
          <w:i/>
          <w:color w:val="000000"/>
          <w:sz w:val="24"/>
        </w:rPr>
        <w:t>GRANT DATE:</w:t>
      </w:r>
      <w:r>
        <w:rPr>
          <w:color w:val="000000"/>
        </w:rPr>
        <w:t xml:space="preserve"> </w:t>
      </w:r>
      <w:r>
        <w:rPr>
          <w:rFonts w:ascii="Times New Roman;serif" w:hAnsi="Times New Roman;serif"/>
          <w:b/>
          <w:color w:val="000000"/>
          <w:sz w:val="24"/>
        </w:rPr>
        <w:t>___________, 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Measures Applicable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Restricted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(2022 Long-Term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 Award - ROIC Award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Name:                            ____________________</w:t>
      </w:r>
    </w:p>
    <w:p>
      <w:pPr>
        <w:pStyle w:val="TextBody"/>
        <w:bidi w:val="0"/>
        <w:spacing w:lineRule="auto" w:line="288" w:before="0" w:after="0"/>
        <w:jc w:val="left"/>
        <w:rPr/>
      </w:pPr>
      <w:r>
        <w:rPr>
          <w:rFonts w:ascii="Times New Roman;serif" w:hAnsi="Times New Roman;serif"/>
          <w:b/>
          <w:color w:val="000000"/>
          <w:sz w:val="24"/>
        </w:rPr>
        <w:t>Target Number of Units (“</w:t>
      </w:r>
      <w:r>
        <w:rPr>
          <w:rFonts w:ascii="Times New Roman;serif" w:hAnsi="Times New Roman;serif"/>
          <w:b/>
          <w:color w:val="000000"/>
          <w:sz w:val="24"/>
          <w:u w:val="single"/>
        </w:rPr>
        <w:t>Target Level</w:t>
      </w:r>
      <w:r>
        <w:rPr>
          <w:color w:val="000000"/>
        </w:rPr>
        <w:t>”</w:t>
      </w:r>
      <w:r>
        <w:rPr>
          <w:rFonts w:ascii="Times New Roman;serif" w:hAnsi="Times New Roman;serif"/>
          <w:b/>
          <w:color w:val="000000"/>
          <w:sz w:val="24"/>
        </w:rPr>
        <w:t>):    ____________________</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of this Exhibit B shall apply to the Units listed above. The terms of any other Exhibit to Holder’s Restricted Stock Unit Agreement shall only apply to the Units listed on such Exhibit.</w:t>
      </w:r>
    </w:p>
    <w:p>
      <w:pPr>
        <w:pStyle w:val="TextBody"/>
        <w:bidi w:val="0"/>
        <w:spacing w:lineRule="auto" w:line="288" w:before="0" w:after="240"/>
        <w:ind w:left="0" w:right="0" w:firstLine="720"/>
        <w:jc w:val="both"/>
        <w:rPr/>
      </w:pPr>
      <w:r>
        <w:rPr>
          <w:rFonts w:ascii="Times New Roman;serif" w:hAnsi="Times New Roman;serif"/>
          <w:b/>
          <w:color w:val="000000"/>
          <w:sz w:val="24"/>
        </w:rPr>
        <w:t>1.    General</w:t>
      </w:r>
      <w:r>
        <w:rPr>
          <w:rFonts w:ascii="Times New Roman;serif" w:hAnsi="Times New Roman;serif"/>
          <w:b w:val="false"/>
          <w:color w:val="000000"/>
          <w:sz w:val="24"/>
        </w:rPr>
        <w:t>. The Holder’s Units shall become vested based on the satisfaction of both the Time Measure and the Performance Measure(s), each as outlined below. The Units subject to this Exhibit are hereby designated as Performance Awards for purposes of Article IX of the 2022 Plan. The initial number of Units specified above in this Exhibit as the “Target Level” is the “target” number of shares of Stock that may be delivered upon settlement of the Units subject to this Exhibit. Such initial number of Units shall be adjusted based on the attainment of the Performance Measure(s) described in Section 3 below.</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2.    Time Measure</w:t>
      </w:r>
      <w:r>
        <w:rPr>
          <w:rFonts w:ascii="Times New Roman;serif" w:hAnsi="Times New Roman;serif"/>
          <w:b w:val="false"/>
          <w:color w:val="000000"/>
          <w:sz w:val="24"/>
        </w:rPr>
        <w:t>. The Time Measure shall be satisfied with respect to a Unit if the Holder is an employee, consultant or a member of the board of directors (or a similar position) of the Group for the period beginning on the Grant Date and ending on __________, ____, which shall be the “Time Vesting Date” for each Unit subject to this Exhibit B.</w:t>
      </w:r>
    </w:p>
    <w:p>
      <w:pPr>
        <w:pStyle w:val="TextBody"/>
        <w:bidi w:val="0"/>
        <w:spacing w:lineRule="auto" w:line="288" w:before="0" w:after="0"/>
        <w:jc w:val="left"/>
        <w:rPr/>
      </w:pPr>
      <w:r>
        <w:rPr>
          <w:color w:val="000000"/>
        </w:rPr>
        <w:t>    </w:t>
      </w:r>
      <w:r>
        <w:rPr>
          <w:rFonts w:ascii="Times New Roman;serif" w:hAnsi="Times New Roman;serif"/>
          <w:b/>
          <w:color w:val="000000"/>
          <w:sz w:val="24"/>
        </w:rPr>
        <w:t>3.    Performance Measures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initial number of Units subject to this Exhibit B is listed above, which number of Units assumes the Performance Measure(s) described in this Section 3 are attained at the Target Level. The final number of Units, if any, subject to this Exhibit B at the end of the Performance Period (defined below) shall be calculated as described below based upon the Final Achievement Percentage, which is based upon the ROIC Achievement Percentage (as defined and described in Section 3(c) of this Exhibit B) and the Relative TSR Modifier (as defined and described in Section 3(e) of this Exhibit B).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Performance Measure(s) determine (1) the number of Holder’s Units for which the Forfeiture Restrictions shall lapse on the Measurement Date, and (2) the number of shares of Stock delivered upon settlement of such Units. The number of Holder’s Units which cease to be subject to Forfeiture Restrictions on the Measurement Date, and the number of shares of Stock delivered with respect to Holder’s Units, is based upon the Company’s Average Return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 Invested Capital (“Average ROIC”) for the three-year period beginning on __________, ____, and ending on and including __________, ____,  (“Performance Period”), which number shall be further modified based upon the Company’s Annualized Total Stockholder Return (“Annualized TSR”) ranking relative to the TSR Peer Group (“Relative TSR Performance Rank”) during the Performance Period as provided in Sections 3(e) and 3(f). For this purpose, the companies identified as real estate investment trusts in the Standard &amp; Poor’s 500 Index on __________, ____,  plus the Standard &amp; Poor’s 500 Index will be the “TSR Peer Group”. As provided in Section 3(c), Section 3(e) and Section 3(f) below, the Performance Measures may be satisfied based on the Company’s Average ROIC and Relative TSR Performance Rank during the Performance Period, as certified in writing by the Committee following the end of the Performance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Subject to the level of achievement of Average ROIC, the ROIC Achievement Percentage shall be determined based on the table below. If Average ROIC is between the levels designated in the table below, then the ROIC Achievement Percentage shall be determined via linear interpolation between applicable percentages. For example, (1) if Average ROIC is ______%, then the ROIC Achievement Percentage would be _____% of the Target Level, and (2) if Average ROIC is ______% then the ROIC Achievement Percentage would be ______% of the Target Level.</w:t>
      </w:r>
    </w:p>
    <w:tbl>
      <w:tblPr>
        <w:tblW w:w="6824" w:type="dxa"/>
        <w:jc w:val="left"/>
        <w:tblInd w:w="0" w:type="dxa"/>
        <w:tblLayout w:type="fixed"/>
        <w:tblCellMar>
          <w:top w:w="28" w:type="dxa"/>
          <w:left w:w="28" w:type="dxa"/>
          <w:bottom w:w="28" w:type="dxa"/>
          <w:right w:w="28" w:type="dxa"/>
        </w:tblCellMar>
      </w:tblPr>
      <w:tblGrid>
        <w:gridCol w:w="641"/>
        <w:gridCol w:w="562"/>
        <w:gridCol w:w="567"/>
        <w:gridCol w:w="569"/>
        <w:gridCol w:w="569"/>
        <w:gridCol w:w="571"/>
        <w:gridCol w:w="980"/>
        <w:gridCol w:w="980"/>
        <w:gridCol w:w="1385"/>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rFonts w:ascii="Times New Roman;serif" w:hAnsi="Times New Roman;serif"/>
                <w:b/>
                <w:color w:val="000000"/>
                <w:sz w:val="24"/>
                <w:u w:val="single"/>
              </w:rPr>
            </w:pPr>
            <w:r>
              <w:rPr>
                <w:rFonts w:ascii="Times New Roman;serif" w:hAnsi="Times New Roman;serif"/>
                <w:b/>
                <w:color w:val="000000"/>
                <w:sz w:val="24"/>
                <w:u w:val="single"/>
              </w:rPr>
              <w:t>Level</w:t>
            </w:r>
          </w:p>
        </w:tc>
        <w:tc>
          <w:tcPr>
            <w:tcW w:w="1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rFonts w:ascii="Times New Roman;serif" w:hAnsi="Times New Roman;serif"/>
                <w:b/>
                <w:color w:val="000000"/>
                <w:sz w:val="24"/>
                <w:u w:val="single"/>
              </w:rPr>
            </w:pPr>
            <w:r>
              <w:rPr>
                <w:rFonts w:ascii="Times New Roman;serif" w:hAnsi="Times New Roman;serif"/>
                <w:b/>
                <w:color w:val="000000"/>
                <w:sz w:val="24"/>
                <w:u w:val="single"/>
              </w:rPr>
              <w:t>Average ROIC</w:t>
            </w:r>
          </w:p>
        </w:tc>
        <w:tc>
          <w:tcPr>
            <w:tcW w:w="33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center"/>
              <w:rPr>
                <w:rFonts w:ascii="Times New Roman;serif" w:hAnsi="Times New Roman;serif"/>
                <w:b/>
                <w:color w:val="000000"/>
                <w:sz w:val="24"/>
                <w:u w:val="single"/>
              </w:rPr>
            </w:pPr>
            <w:r>
              <w:rPr>
                <w:rFonts w:ascii="Times New Roman;serif" w:hAnsi="Times New Roman;serif"/>
                <w:b/>
                <w:color w:val="000000"/>
                <w:sz w:val="24"/>
                <w:u w:val="single"/>
              </w:rPr>
              <w:t>ROIC Achievement Percentage</w:t>
            </w:r>
          </w:p>
        </w:tc>
      </w:tr>
      <w:tr>
        <w:trPr/>
        <w:tc>
          <w:tcPr>
            <w:tcW w:w="177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Maximum</w:t>
            </w:r>
          </w:p>
        </w:tc>
        <w:tc>
          <w:tcPr>
            <w:tcW w:w="170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______%</w:t>
            </w:r>
          </w:p>
        </w:tc>
        <w:tc>
          <w:tcPr>
            <w:tcW w:w="33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______% of Target Level</w:t>
            </w:r>
          </w:p>
        </w:tc>
      </w:tr>
      <w:tr>
        <w:trPr/>
        <w:tc>
          <w:tcPr>
            <w:tcW w:w="177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Target</w:t>
            </w:r>
          </w:p>
        </w:tc>
        <w:tc>
          <w:tcPr>
            <w:tcW w:w="170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______%</w:t>
            </w:r>
          </w:p>
        </w:tc>
        <w:tc>
          <w:tcPr>
            <w:tcW w:w="33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______% of Target Level</w:t>
            </w:r>
          </w:p>
        </w:tc>
      </w:tr>
      <w:tr>
        <w:trPr/>
        <w:tc>
          <w:tcPr>
            <w:tcW w:w="177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Threshold</w:t>
            </w:r>
          </w:p>
        </w:tc>
        <w:tc>
          <w:tcPr>
            <w:tcW w:w="170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______%</w:t>
            </w:r>
          </w:p>
        </w:tc>
        <w:tc>
          <w:tcPr>
            <w:tcW w:w="33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______% of Target Level</w:t>
            </w:r>
          </w:p>
        </w:tc>
      </w:tr>
      <w:tr>
        <w:trPr/>
        <w:tc>
          <w:tcPr>
            <w:tcW w:w="177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Below Threshold</w:t>
            </w:r>
          </w:p>
        </w:tc>
        <w:tc>
          <w:tcPr>
            <w:tcW w:w="170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Below ______%</w:t>
            </w:r>
          </w:p>
        </w:tc>
        <w:tc>
          <w:tcPr>
            <w:tcW w:w="33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0%</w:t>
            </w:r>
          </w:p>
        </w:tc>
      </w:tr>
    </w:tbl>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Average ROIC shall be calculated as the arithmetic average of Return on Invested Capital for each fiscal year that comprises the Performance Period.</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Return on Invested Capital” is defined as Adjusted EBITDA less cash taxes paid, divided by Consolidated Invested Capital.</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Adjusted EBITDA” is defined as net income (loss) plus restructuring charges (credits), asset write-down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net, (income) loss from discontinued operations, (gain) loss on sale of discontinued operations, cumulative effect of a change in accounting principle and stock-based compensation expense, net.</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Consolidated Invested Capital” is defined as the historical gross investment in (1) property and equipment (excluding the impact of construction in process), (2) site rental contracts and tenant relationships and (3) goodwill.</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Following calculation of the ROIC Achievement Percentage, and subject to the Relative TSR Performance Rank, the Relative TSR Modifier shall be determined based on the table below. If the Company’s Relative TSR Performance Rank is between the levels designated in the table below, then the Relative TSR Modifier shall be determined via linear interpolation between applicable percentages. For example, (1) if the Company’s Relative TSR Performance Rank is at the _____</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the Relative TSR Modifier would be calculated as _____%, and (2) if the Company’s Relative TSR Performance Rank is at the _____</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percentile, the Relative TSR Modifier would be calculated as _____%. </w:t>
      </w:r>
    </w:p>
    <w:tbl>
      <w:tblPr>
        <w:tblW w:w="7095" w:type="dxa"/>
        <w:jc w:val="left"/>
        <w:tblInd w:w="0" w:type="dxa"/>
        <w:tblLayout w:type="fixed"/>
        <w:tblCellMar>
          <w:top w:w="28" w:type="dxa"/>
          <w:left w:w="28" w:type="dxa"/>
          <w:bottom w:w="28" w:type="dxa"/>
          <w:right w:w="28" w:type="dxa"/>
        </w:tblCellMar>
      </w:tblPr>
      <w:tblGrid>
        <w:gridCol w:w="397"/>
        <w:gridCol w:w="348"/>
        <w:gridCol w:w="351"/>
        <w:gridCol w:w="1159"/>
        <w:gridCol w:w="1159"/>
        <w:gridCol w:w="1161"/>
        <w:gridCol w:w="737"/>
        <w:gridCol w:w="737"/>
        <w:gridCol w:w="1046"/>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rFonts w:ascii="Times New Roman;serif" w:hAnsi="Times New Roman;serif"/>
                <w:b/>
                <w:color w:val="000000"/>
                <w:sz w:val="24"/>
                <w:u w:val="single"/>
              </w:rPr>
            </w:pPr>
            <w:r>
              <w:rPr>
                <w:rFonts w:ascii="Times New Roman;serif" w:hAnsi="Times New Roman;serif"/>
                <w:b/>
                <w:color w:val="000000"/>
                <w:sz w:val="24"/>
                <w:u w:val="single"/>
              </w:rPr>
              <w:t>Level</w:t>
            </w:r>
          </w:p>
        </w:tc>
        <w:tc>
          <w:tcPr>
            <w:tcW w:w="34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rFonts w:ascii="Times New Roman;serif" w:hAnsi="Times New Roman;serif"/>
                <w:b/>
                <w:color w:val="000000"/>
                <w:sz w:val="24"/>
                <w:u w:val="single"/>
              </w:rPr>
            </w:pPr>
            <w:r>
              <w:rPr>
                <w:rFonts w:ascii="Times New Roman;serif" w:hAnsi="Times New Roman;serif"/>
                <w:b/>
                <w:color w:val="000000"/>
                <w:sz w:val="24"/>
                <w:u w:val="single"/>
              </w:rPr>
              <w:t>Relative TSR Performance Rank</w:t>
            </w:r>
          </w:p>
        </w:tc>
        <w:tc>
          <w:tcPr>
            <w:tcW w:w="25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Relative TSR Modifier </w:t>
            </w:r>
          </w:p>
        </w:tc>
      </w:tr>
      <w:tr>
        <w:trPr/>
        <w:tc>
          <w:tcPr>
            <w:tcW w:w="109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Maximum</w:t>
            </w:r>
          </w:p>
        </w:tc>
        <w:tc>
          <w:tcPr>
            <w:tcW w:w="34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val="false"/>
                <w:color w:val="000000"/>
                <w:sz w:val="24"/>
              </w:rPr>
              <w:t>___</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or Higher</w:t>
            </w:r>
          </w:p>
        </w:tc>
        <w:tc>
          <w:tcPr>
            <w:tcW w:w="252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______%</w:t>
            </w:r>
          </w:p>
        </w:tc>
      </w:tr>
      <w:tr>
        <w:trPr/>
        <w:tc>
          <w:tcPr>
            <w:tcW w:w="109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Target</w:t>
            </w:r>
          </w:p>
        </w:tc>
        <w:tc>
          <w:tcPr>
            <w:tcW w:w="34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val="false"/>
                <w:color w:val="000000"/>
                <w:sz w:val="24"/>
              </w:rPr>
              <w:t>___</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252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______%</w:t>
            </w:r>
          </w:p>
        </w:tc>
      </w:tr>
      <w:tr>
        <w:trPr/>
        <w:tc>
          <w:tcPr>
            <w:tcW w:w="109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Threshold</w:t>
            </w:r>
          </w:p>
        </w:tc>
        <w:tc>
          <w:tcPr>
            <w:tcW w:w="34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center"/>
              <w:rPr/>
            </w:pPr>
            <w:r>
              <w:rPr>
                <w:rFonts w:ascii="Times New Roman;serif" w:hAnsi="Times New Roman;serif"/>
                <w:b w:val="false"/>
                <w:color w:val="000000"/>
                <w:sz w:val="24"/>
              </w:rPr>
              <w:t>___</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or Lower</w:t>
            </w:r>
          </w:p>
        </w:tc>
        <w:tc>
          <w:tcPr>
            <w:tcW w:w="252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______%</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Following determination of both the ROIC Achievement Percentage and the Relative TSR Modifier, the final overall level of achievement (“Final Achievement Percentage”) shall be determined by multiplying the ROIC Achievement Percentage and the Relative TSR Modifier. Notwithstanding the foregoing, the Final Achievement Percentage (i) shall not exceed ______%; and (ii) provided the ROIC Achievement Percentage is greater than or equal to ______%, shall not be less than ______%.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final number of Units, if any, subject to this Exhibit B at the end of the Performance Period shall be calculated as the initial number (Target Level) of Units multiplied by the Final Achievement Percentage, as defined above.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For purposes of calculating the Company’s Relative TSR Performance Rank, the following definitions shall be used for the Company and each constituent of the TSR Peer Group:</w:t>
      </w:r>
    </w:p>
    <w:p>
      <w:pPr>
        <w:pStyle w:val="TextBody"/>
        <w:bidi w:val="0"/>
        <w:spacing w:lineRule="auto" w:line="240" w:before="0" w:after="240"/>
        <w:jc w:val="both"/>
        <w:rPr/>
      </w:pPr>
      <w:r>
        <w:rPr>
          <w:rFonts w:ascii="Times New Roman;serif" w:hAnsi="Times New Roman;serif"/>
          <w:b w:val="false"/>
          <w:color w:val="000000"/>
          <w:sz w:val="24"/>
        </w:rPr>
        <w:t>Annualized TSR shall be calculated as follows:</w:t>
      </w:r>
      <w:r>
        <w:rPr>
          <w:color w:val="000000"/>
        </w:rPr>
        <w:t xml:space="preserve"> </w:t>
      </w:r>
    </w:p>
    <w:p>
      <w:pPr>
        <w:pStyle w:val="TextBody"/>
        <w:bidi w:val="0"/>
        <w:spacing w:before="0" w:after="0"/>
        <w:jc w:val="center"/>
        <w:rPr/>
      </w:pPr>
      <w:r>
        <w:rPr/>
        <w:drawing>
          <wp:inline distT="0" distB="0" distL="0" distR="0">
            <wp:extent cx="5029200" cy="571500"/>
            <wp:effectExtent l="0" t="0" r="0" b="0"/>
            <wp:docPr id="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 descr=""/>
                    <pic:cNvPicPr>
                      <a:picLocks noChangeAspect="1" noChangeArrowheads="1"/>
                    </pic:cNvPicPr>
                  </pic:nvPicPr>
                  <pic:blipFill>
                    <a:blip r:embed="rId11"/>
                    <a:stretch>
                      <a:fillRect/>
                    </a:stretch>
                  </pic:blipFill>
                  <pic:spPr bwMode="auto">
                    <a:xfrm>
                      <a:off x="0" y="0"/>
                      <a:ext cx="5029200" cy="5715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where </w:t>
      </w:r>
      <w:r>
        <w:rPr>
          <w:rFonts w:ascii="Times New Roman;serif" w:hAnsi="Times New Roman;serif"/>
          <w:b w:val="false"/>
          <w:i/>
          <w:color w:val="000000"/>
          <w:sz w:val="24"/>
        </w:rPr>
        <w:t>n</w:t>
      </w:r>
      <w:r>
        <w:rPr>
          <w:color w:val="000000"/>
        </w:rPr>
        <w:t xml:space="preserve"> </w:t>
      </w:r>
      <w:r>
        <w:rPr>
          <w:rFonts w:ascii="Times New Roman;serif" w:hAnsi="Times New Roman;serif"/>
          <w:b w:val="false"/>
          <w:color w:val="000000"/>
          <w:sz w:val="24"/>
        </w:rPr>
        <w:t>represents the number of years over which Annualized TSR is measured.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Ending Average Stock Price</w:t>
      </w:r>
      <w:r>
        <w:rPr>
          <w:color w:val="000000"/>
        </w:rPr>
        <w:t xml:space="preserve">” </w:t>
      </w:r>
      <w:r>
        <w:rPr>
          <w:rFonts w:ascii="Times New Roman;serif" w:hAnsi="Times New Roman;serif"/>
          <w:b w:val="false"/>
          <w:color w:val="000000"/>
          <w:sz w:val="24"/>
        </w:rPr>
        <w:t xml:space="preserve">shall be calculated as the average Closing Stock Price for the last 10 trading days of the Performance Period. </w:t>
      </w:r>
    </w:p>
    <w:p>
      <w:pPr>
        <w:pStyle w:val="TextBody"/>
        <w:bidi w:val="0"/>
        <w:spacing w:lineRule="auto" w:line="288" w:before="0" w:after="240"/>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Beginning Average Stock Price</w:t>
      </w:r>
      <w:r>
        <w:rPr>
          <w:color w:val="000000"/>
        </w:rPr>
        <w:t xml:space="preserve">” </w:t>
      </w:r>
      <w:r>
        <w:rPr>
          <w:rFonts w:ascii="Times New Roman;serif" w:hAnsi="Times New Roman;serif"/>
          <w:b w:val="false"/>
          <w:color w:val="000000"/>
          <w:sz w:val="24"/>
        </w:rPr>
        <w:t>shall be calculated as the average Closing Stock Price for the last 10 trading days prior to the first day of the Performance Period.</w:t>
      </w:r>
    </w:p>
    <w:p>
      <w:pPr>
        <w:pStyle w:val="TextBody"/>
        <w:bidi w:val="0"/>
        <w:spacing w:lineRule="auto" w:line="288" w:before="0" w:after="240"/>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Closing Stock Price</w:t>
      </w:r>
      <w:r>
        <w:rPr>
          <w:color w:val="000000"/>
        </w:rPr>
        <w:t xml:space="preserve">” </w:t>
      </w:r>
      <w:r>
        <w:rPr>
          <w:rFonts w:ascii="Times New Roman;serif" w:hAnsi="Times New Roman;serif"/>
          <w:b w:val="false"/>
          <w:color w:val="000000"/>
          <w:sz w:val="24"/>
        </w:rPr>
        <w:t>of a share of Stock shall be the closing quotation on the New York Stock Exchange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for the applicable date (or an applicable substitute exchange or quotation system if the NYSE is no longer applicable).</w: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Reinvested Dividend Amount</w:t>
      </w:r>
      <w:r>
        <w:rPr>
          <w:color w:val="000000"/>
        </w:rPr>
        <w:t xml:space="preserve">” </w:t>
      </w:r>
      <w:r>
        <w:rPr>
          <w:rFonts w:ascii="Times New Roman;serif" w:hAnsi="Times New Roman;serif"/>
          <w:b w:val="false"/>
          <w:color w:val="000000"/>
          <w:sz w:val="24"/>
        </w:rPr>
        <w:t>shall be calculated as the sum of the total dividends paid</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on one share of Stock during the Performance Period, assuming reinvestment of such dividends in such stock (based on the Closing Stock Price of such Stock on the ex-dividend date). For the avoidance of doubt, it is intended that the foregoing calculation of Reinvested Dividend Amount shall take into account not only the reinvestment of dividends in a share of Stock but also capital appreciation or depreciation in the shares deemed acquired by such reinvestment.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Annualized TSR for the TSR Peer Group companies will be determined using the calculation method described above based on information specific to the TSR Peer Group companies.</w: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Adjustments to TSR Peer Group. The TSR Peer Group may be adjusted or changed by the Committee as circumstances warrant, including the following:</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    If a TSR Peer Group company files for bankruptcy under any chapter of the US Bankruptcy Code (“Becomes Bankrupt”), the company so filing (“Bankrupt Company”) will remain in the TSR Peer Group positioned at one level below the lowest performing non-bankrupt TSR Peer Group. In the case of multiple Bankrupt Companies, the TSR Peer Group Bankrupt Companies will be positioned below the non-Bankrupt Companies in chronological order by date of filing for bankruptcy with the first to file for bankruptcy at the bottom.</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(2)    If a TSR Peer Group company is acquired by another company, including through a management buy-out or going-private transaction, the acquired TSR Peer Group company will be removed from the TSR Peer Group </w:t>
      </w:r>
    </w:p>
    <w:p>
      <w:pPr>
        <w:pStyle w:val="TextBody"/>
        <w:bidi w:val="0"/>
        <w:spacing w:lineRule="auto" w:line="288" w:before="0" w:after="0"/>
        <w:jc w:val="both"/>
        <w:rPr/>
      </w:pPr>
      <w:r>
        <w:rPr>
          <w:rFonts w:ascii="Georgia;serif" w:hAnsi="Georgia;serif"/>
          <w:b w:val="false"/>
          <w:color w:val="000000"/>
          <w:sz w:val="12"/>
        </w:rPr>
        <w:t>1</w:t>
      </w:r>
      <w:r>
        <w:rPr>
          <w:color w:val="000000"/>
        </w:rPr>
        <w:t xml:space="preserve"> </w:t>
      </w:r>
      <w:r>
        <w:rPr>
          <w:rFonts w:ascii="Times New Roman;serif" w:hAnsi="Times New Roman;serif"/>
          <w:b w:val="false"/>
          <w:color w:val="000000"/>
          <w:sz w:val="20"/>
        </w:rPr>
        <w:t xml:space="preserve">The relevant date for determining whether a dividend is included in the calculation of “Reinvested Dividend Amount” is the ex-dividend date (and not the payment date). In the event that the stock of the measured company goes ex-dividend during the Performance Period (including the 10-day trading period during which the Ending Average Stock Price is to be calculated), such dividend shall be included in the determination of “Reinvested Dividend Amount,” notwithstanding the fact that the payment date of such dividend may actually occur after the conclusion of the Performance Period. In the event that the stock of the measured company goes ex-dividend prior to the commencement of the Performance Period (for example, during the 10-day trading period during which the Beginning Average Stock Price is to be calculated), such dividend shall </w:t>
      </w:r>
      <w:r>
        <w:rPr>
          <w:rFonts w:ascii="Times New Roman;serif" w:hAnsi="Times New Roman;serif"/>
          <w:b w:val="false"/>
          <w:i/>
          <w:color w:val="000000"/>
          <w:sz w:val="20"/>
        </w:rPr>
        <w:t>not</w:t>
      </w:r>
      <w:r>
        <w:rPr>
          <w:color w:val="000000"/>
        </w:rPr>
        <w:t xml:space="preserve"> </w:t>
      </w:r>
      <w:r>
        <w:rPr>
          <w:rFonts w:ascii="Times New Roman;serif" w:hAnsi="Times New Roman;serif"/>
          <w:b w:val="false"/>
          <w:color w:val="000000"/>
          <w:sz w:val="20"/>
        </w:rPr>
        <w:t>be included in the termination of “Reinvested Dividend Amount,” notwithstanding the fact that the payment date of such dividend may actually occur during the Performance Period.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the entire Performance Period; provided that if the acquired TSR Peer Group company filed for bankruptcy prior to its acquisition it shall be treated as provided in paragraph (1), above, or if it shall become delisted according to paragraph (5) below prior to its acquisition it shall be treated as provided in paragraph (5).</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    If a TSR Peer Group company spins-off a portion a portion of its business in a manner which results in the TSR Peer Group company and the spin-off company both being publicly traded, the TSR Peer Group company will be removed from the TSR Peer Group for the entire Performance Period and the spin-off company will not be added to the TSR Peer Group.</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    If a TSR Peer Group company acquires another company, the acquiring TSR Peer Group company will remain in the TSR Peer Group for the Performance Period.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    If a TSR Peer Group company is delisted from either the New York Stock Exchange (NYSE) or the National Association of Securities Dealers Automated Quotations (NASDAQ) such that it is no longer listed on either exchange, such delisted TSR Peer Group company will remain in the TSR Peer Group positioned at one level below the lowest performing listed company and above the highest ranked bankrupt TSR Peer Group company (see paragraph (1) above). In the case of multiple delistings, the delisted TSR Peer Group companies will be positioned below the listed and above the TSR Peer Group Bankrupt Companies in chronological order by delisting date with the first to be delisted at the bottom of the delisted companies. If a delisted company Becomes Bankrupt, it shall be treated as provided in paragraph (1) above. If a delisted company shall be later acquired, it shall be treated as a delisted company under this paragraph. If a delisted company shall relist during the Performance Period, it shall remain in its relative delisted position determined under this paragraph.</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    If the Company’s or any TSR Peer Group company’s stock splits (or if there are other similar subdivisions, consolidations or changes in such company’s stock or capitalization), such company’s Annualized TSR performance will be adjusted for the stock split so as not to give an advantage or disadvantage to such company by comparison to the other TSR Peer Group companies.</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In addition to any other authority or powers granted to the Committee herein or in the 2022 Plan, the Committee shall have the authority to interpret and determine the application and calculation of any matter relating to the determination of Average ROIC, Annualized TSR, Relative TSR Performance Rank, ROIC Achievement Percentage, Relative TSR Modifier, and Final Achievement Percentage, including any terms in the Agreement or this Exhibit B related thereto. The Committee shall also have the power to make any and all adjustments it deems appropriate (1) in recognition of unusual or nonrecurring events affecting the Company or any TSR Group Company or the financial statements of the Company or any TSR Group Company, or of any changes in applicable laws, regulations or accounting principles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(2) to reflect any changes in the Company’s or any TSR Group Company’s outstanding Stock, including by reason of subdivision or consolidation of Stock or other capital readjustment, the payment of a stock dividend on the Stock, other increase or reduction in the number of shares of Stock outstanding, recapitalizations, reorganizations, mergers, consolidations, combinations, split-ups, split-offs, spin-offs, exchanges or other relevant changes in capitalization or distributions to holders of Stock. The determination of the Committee with respect to any such matter shall be conclusive.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Holder shall receive a Dividend Equivalent payment with respect to each share of Distributed Stock as if Holder had held such share since the Grant Date.</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0" w:after="0"/>
        <w:jc w:val="right"/>
        <w:rPr/>
      </w:pPr>
      <w:r>
        <w:rPr>
          <w:rFonts w:ascii="Times New Roman;serif" w:hAnsi="Times New Roman;serif"/>
          <w:b/>
          <w:i/>
          <w:color w:val="000000"/>
          <w:sz w:val="24"/>
        </w:rPr>
        <w:t>GRANT ID:</w:t>
      </w:r>
      <w:r>
        <w:rPr>
          <w:color w:val="000000"/>
        </w:rPr>
        <w:t xml:space="preserve"> </w:t>
      </w:r>
      <w:r>
        <w:rPr>
          <w:rFonts w:ascii="Times New Roman;serif" w:hAnsi="Times New Roman;serif"/>
          <w:b/>
          <w:color w:val="000000"/>
          <w:sz w:val="24"/>
        </w:rPr>
        <w:t>___________</w:t>
      </w:r>
      <w:r>
        <w:rPr>
          <w:color w:val="000000"/>
        </w:rPr>
        <w:t xml:space="preserve"> </w:t>
      </w:r>
    </w:p>
    <w:p>
      <w:pPr>
        <w:pStyle w:val="TextBody"/>
        <w:bidi w:val="0"/>
        <w:spacing w:lineRule="auto" w:line="288" w:before="0" w:after="0"/>
        <w:jc w:val="right"/>
        <w:rPr/>
      </w:pPr>
      <w:r>
        <w:rPr>
          <w:rFonts w:ascii="Times New Roman;serif" w:hAnsi="Times New Roman;serif"/>
          <w:b/>
          <w:i/>
          <w:color w:val="000000"/>
          <w:sz w:val="24"/>
        </w:rPr>
        <w:t>GRANT DATE:</w:t>
      </w:r>
      <w:r>
        <w:rPr>
          <w:color w:val="000000"/>
        </w:rPr>
        <w:t xml:space="preserve"> </w:t>
      </w:r>
      <w:r>
        <w:rPr>
          <w:rFonts w:ascii="Times New Roman;serif" w:hAnsi="Times New Roman;serif"/>
          <w:b/>
          <w:color w:val="000000"/>
          <w:sz w:val="24"/>
        </w:rPr>
        <w:t>_________, ____</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Measures Applicable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Restricted Stock Unit Agreement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(2022 Long-Term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 Award - Adjusted Funds from Operations per Share Award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Name:                            _____________________</w:t>
      </w:r>
    </w:p>
    <w:p>
      <w:pPr>
        <w:pStyle w:val="TextBody"/>
        <w:bidi w:val="0"/>
        <w:spacing w:lineRule="auto" w:line="288" w:before="0" w:after="0"/>
        <w:jc w:val="left"/>
        <w:rPr/>
      </w:pPr>
      <w:r>
        <w:rPr>
          <w:rFonts w:ascii="Times New Roman;serif" w:hAnsi="Times New Roman;serif"/>
          <w:b/>
          <w:color w:val="000000"/>
          <w:sz w:val="24"/>
        </w:rPr>
        <w:t>Target Number of Units (“</w:t>
      </w:r>
      <w:r>
        <w:rPr>
          <w:rFonts w:ascii="Times New Roman;serif" w:hAnsi="Times New Roman;serif"/>
          <w:b/>
          <w:color w:val="000000"/>
          <w:sz w:val="24"/>
          <w:u w:val="single"/>
        </w:rPr>
        <w:t>Target Level</w:t>
      </w:r>
      <w:r>
        <w:rPr>
          <w:color w:val="000000"/>
        </w:rPr>
        <w:t>”</w:t>
      </w:r>
      <w:r>
        <w:rPr>
          <w:rFonts w:ascii="Times New Roman;serif" w:hAnsi="Times New Roman;serif"/>
          <w:b/>
          <w:color w:val="000000"/>
          <w:sz w:val="24"/>
        </w:rPr>
        <w:t>):    _____________________</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of this Exhibit C shall apply to the Units listed above. The terms of any other Exhibit to Holder’s Restricted Stock Unit Agreement shall only apply to the Units listed on such Exhibit.</w:t>
      </w:r>
    </w:p>
    <w:p>
      <w:pPr>
        <w:pStyle w:val="TextBody"/>
        <w:bidi w:val="0"/>
        <w:spacing w:lineRule="auto" w:line="288" w:before="0" w:after="240"/>
        <w:jc w:val="both"/>
        <w:rPr/>
      </w:pPr>
      <w:r>
        <w:rPr>
          <w:color w:val="000000"/>
        </w:rPr>
        <w:t>    </w:t>
      </w:r>
      <w:r>
        <w:rPr>
          <w:rFonts w:ascii="Times New Roman;serif" w:hAnsi="Times New Roman;serif"/>
          <w:b/>
          <w:color w:val="000000"/>
          <w:sz w:val="24"/>
        </w:rPr>
        <w:t>1.    General</w:t>
      </w:r>
      <w:r>
        <w:rPr>
          <w:rFonts w:ascii="Times New Roman;serif" w:hAnsi="Times New Roman;serif"/>
          <w:b w:val="false"/>
          <w:color w:val="000000"/>
          <w:sz w:val="24"/>
        </w:rPr>
        <w:t>. The Holder’s Units shall become vested based on the satisfaction of both the Time Measure and the Performance Measure(s), each as outlined below. The Units subject to this Exhibit are hereby designated as Performance Awards for purposes of Article IX of the 2022 Plan. The initial number of Units specified above in this Exhibit as the “Target Level” is the “target” number of shares of Stock that may be delivered upon settlement of the Units subject to this Exhibit. Such initial number of Units shall be adjusted based on the attainment of the Performance Measure(s) described in Section 3 below.</w:t>
      </w:r>
    </w:p>
    <w:p>
      <w:pPr>
        <w:pStyle w:val="TextBody"/>
        <w:bidi w:val="0"/>
        <w:spacing w:lineRule="auto" w:line="288" w:before="0" w:after="240"/>
        <w:jc w:val="both"/>
        <w:rPr/>
      </w:pPr>
      <w:r>
        <w:rPr>
          <w:color w:val="000000"/>
        </w:rPr>
        <w:t>    </w:t>
      </w:r>
      <w:r>
        <w:rPr>
          <w:rFonts w:ascii="Times New Roman;serif" w:hAnsi="Times New Roman;serif"/>
          <w:b/>
          <w:color w:val="000000"/>
          <w:sz w:val="24"/>
        </w:rPr>
        <w:t>2.    Time Measure</w:t>
      </w:r>
      <w:r>
        <w:rPr>
          <w:rFonts w:ascii="Times New Roman;serif" w:hAnsi="Times New Roman;serif"/>
          <w:b w:val="false"/>
          <w:color w:val="000000"/>
          <w:sz w:val="24"/>
        </w:rPr>
        <w:t>. The Time Measure shall be satisfied with respect to a Unit if the Holder is an employee, consultant or a member of the board of directors (or a similar position) of the Group for the period beginning on the Grant Date and ending _________, ____, which shall be the “Time Vesting Date” for each Unit subject to this Exhibit C.</w:t>
      </w:r>
    </w:p>
    <w:p>
      <w:pPr>
        <w:pStyle w:val="TextBody"/>
        <w:bidi w:val="0"/>
        <w:spacing w:lineRule="auto" w:line="288" w:before="0" w:after="0"/>
        <w:jc w:val="left"/>
        <w:rPr/>
      </w:pPr>
      <w:r>
        <w:rPr>
          <w:color w:val="000000"/>
        </w:rPr>
        <w:t>    </w:t>
      </w:r>
      <w:r>
        <w:rPr>
          <w:rFonts w:ascii="Times New Roman;serif" w:hAnsi="Times New Roman;serif"/>
          <w:b/>
          <w:color w:val="000000"/>
          <w:sz w:val="24"/>
        </w:rPr>
        <w:t>3.    Performance Measures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initial number of Units subject to this Exhibit C is listed above, which number of Units assumes the Performance Measure(s) described in this Section 3 are attained at the Target Level. The final number of Units, if any, subject to this Exhibit C at the end of the Performance Period (defined below) shall be calculated as described below based upon the Final Achievement Percentage, which is based upon the AFFO Achievement Percentage (as defined and described in Section 3(c) of this Exhibit C) and the Relative TSR Modifier (as defined and described in Section 3(e) of this Exhibit C).</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Performance Measure(s) determine (1) the number of Holder’s Units for which the Forfeiture Restrictions shall lapse on the Measurement Date, and (2) the number of shares of Stock delivered upon settlement of such Units. The number of Holder’s Units which cease to be subject to Forfeiture Restrictions on the Measurement Date, and the number of shares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of Stock delivered with respect to Holder’s Units, is based upon the Company’s Cumulative Adjusted Funds from Operations per Share (“Cumulative AFFO per Share”) for the three year period beginning on _________, ____ and ending on and including _________, ____  (“</w:t>
      </w:r>
      <w:r>
        <w:rPr>
          <w:rFonts w:ascii="Times New Roman;serif" w:hAnsi="Times New Roman;serif"/>
          <w:b w:val="false"/>
          <w:color w:val="000000"/>
          <w:sz w:val="24"/>
          <w:u w:val="single"/>
        </w:rPr>
        <w:t>Performance Period</w:t>
      </w:r>
      <w:r>
        <w:rPr>
          <w:color w:val="000000"/>
        </w:rPr>
        <w:t>”</w:t>
      </w:r>
      <w:r>
        <w:rPr>
          <w:rFonts w:ascii="Times New Roman;serif" w:hAnsi="Times New Roman;serif"/>
          <w:b w:val="false"/>
          <w:color w:val="000000"/>
          <w:sz w:val="24"/>
        </w:rPr>
        <w:t>), which number shall be further modified based upon the Company’s Annualized Total Stockholder Return (“Annualized TSR”) ranking relative to the TSR Peer Group (“Relative TSR Performance Rank”) during the Performance Period as provided in Sections 3(e) and 3(f). For this purpose, the companies identified as real estate investment trusts in the Standard &amp; Poor’s 500 Index on _________, ____ , plus the Standard &amp; Poor’s 500 Index will be the “TSR Peer Group”. As provided in Section 3(c), Section 3(e) and Section 3(f) below, the Performance Measures may be satisfied based on the Company’s Cumulative AFFO per Share and Relative TSR Performance Rank during the Performance Period, as certified in writing by the Committee following the end of the Performance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Subject to the level of achievement of Cumulative AFFO per Share, the AFFO Achievement Percentage shall be determined based on the table below. If Cumulative AFFO per Share is between the levels designated in the table below, then the AFFO Achievement Percentage shall be determined via linear interpolation between applicable percentages. For example, (1) if Cumulative AFFO per Share is $____, then the AFFO Achievement Percentage would be ____% of the Target Level, and (2) if Cumulative AFFO per Share is $____, then the AFFO Achievement Percentage would be ____% of the Target Level.</w:t>
      </w:r>
    </w:p>
    <w:tbl>
      <w:tblPr>
        <w:tblW w:w="8279" w:type="dxa"/>
        <w:jc w:val="left"/>
        <w:tblInd w:w="0" w:type="dxa"/>
        <w:tblLayout w:type="fixed"/>
        <w:tblCellMar>
          <w:top w:w="28" w:type="dxa"/>
          <w:left w:w="28" w:type="dxa"/>
          <w:bottom w:w="28" w:type="dxa"/>
          <w:right w:w="28" w:type="dxa"/>
        </w:tblCellMar>
      </w:tblPr>
      <w:tblGrid>
        <w:gridCol w:w="641"/>
        <w:gridCol w:w="562"/>
        <w:gridCol w:w="567"/>
        <w:gridCol w:w="1044"/>
        <w:gridCol w:w="1044"/>
        <w:gridCol w:w="1046"/>
        <w:gridCol w:w="989"/>
        <w:gridCol w:w="989"/>
        <w:gridCol w:w="1397"/>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rFonts w:ascii="Times New Roman;serif" w:hAnsi="Times New Roman;serif"/>
                <w:b/>
                <w:color w:val="000000"/>
                <w:sz w:val="24"/>
                <w:u w:val="single"/>
              </w:rPr>
            </w:pPr>
            <w:r>
              <w:rPr>
                <w:rFonts w:ascii="Times New Roman;serif" w:hAnsi="Times New Roman;serif"/>
                <w:b/>
                <w:color w:val="000000"/>
                <w:sz w:val="24"/>
                <w:u w:val="single"/>
              </w:rPr>
              <w:t>Level</w:t>
            </w:r>
          </w:p>
        </w:tc>
        <w:tc>
          <w:tcPr>
            <w:tcW w:w="31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pPr>
            <w:r>
              <w:rPr>
                <w:color w:val="000000"/>
              </w:rPr>
              <w:t> </w:t>
            </w:r>
            <w:r>
              <w:rPr>
                <w:rFonts w:ascii="Times New Roman;serif" w:hAnsi="Times New Roman;serif"/>
                <w:b/>
                <w:color w:val="000000"/>
                <w:sz w:val="24"/>
                <w:u w:val="single"/>
              </w:rPr>
              <w:t>Cumulative AFFO per Share</w:t>
            </w:r>
          </w:p>
        </w:tc>
        <w:tc>
          <w:tcPr>
            <w:tcW w:w="33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center"/>
              <w:rPr>
                <w:rFonts w:ascii="Times New Roman;serif" w:hAnsi="Times New Roman;serif"/>
                <w:b/>
                <w:color w:val="000000"/>
                <w:sz w:val="24"/>
                <w:u w:val="single"/>
              </w:rPr>
            </w:pPr>
            <w:r>
              <w:rPr>
                <w:rFonts w:ascii="Times New Roman;serif" w:hAnsi="Times New Roman;serif"/>
                <w:b/>
                <w:color w:val="000000"/>
                <w:sz w:val="24"/>
                <w:u w:val="single"/>
              </w:rPr>
              <w:t>AFFO Achievement Percentage</w:t>
            </w:r>
          </w:p>
        </w:tc>
      </w:tr>
      <w:tr>
        <w:trPr/>
        <w:tc>
          <w:tcPr>
            <w:tcW w:w="177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Maximum</w:t>
            </w:r>
          </w:p>
        </w:tc>
        <w:tc>
          <w:tcPr>
            <w:tcW w:w="313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w:t>
            </w:r>
          </w:p>
        </w:tc>
        <w:tc>
          <w:tcPr>
            <w:tcW w:w="337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 of Target Level</w:t>
            </w:r>
          </w:p>
        </w:tc>
      </w:tr>
      <w:tr>
        <w:trPr/>
        <w:tc>
          <w:tcPr>
            <w:tcW w:w="177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Target</w:t>
            </w:r>
          </w:p>
        </w:tc>
        <w:tc>
          <w:tcPr>
            <w:tcW w:w="313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w:t>
            </w:r>
          </w:p>
        </w:tc>
        <w:tc>
          <w:tcPr>
            <w:tcW w:w="337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 of Target Level</w:t>
            </w:r>
          </w:p>
        </w:tc>
      </w:tr>
      <w:tr>
        <w:trPr/>
        <w:tc>
          <w:tcPr>
            <w:tcW w:w="177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Threshold</w:t>
            </w:r>
          </w:p>
        </w:tc>
        <w:tc>
          <w:tcPr>
            <w:tcW w:w="313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w:t>
            </w:r>
          </w:p>
        </w:tc>
        <w:tc>
          <w:tcPr>
            <w:tcW w:w="337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 of Target Level</w:t>
            </w:r>
          </w:p>
        </w:tc>
      </w:tr>
      <w:tr>
        <w:trPr/>
        <w:tc>
          <w:tcPr>
            <w:tcW w:w="177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Below Threshold</w:t>
            </w:r>
          </w:p>
        </w:tc>
        <w:tc>
          <w:tcPr>
            <w:tcW w:w="313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Below $____</w:t>
            </w:r>
          </w:p>
        </w:tc>
        <w:tc>
          <w:tcPr>
            <w:tcW w:w="337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0%</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Cumulative AFFO per Share shall be calculated as follows: Year 1 AFFO per Share + Year 2 AFFO per share + Year 3 AFFO per share.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Following calculation of the AFFO Achievement Percentage, and subject to the Relative TSR Performance Rank, the Relative TSR Modifier shall be determined based on the table below. If the Company’s Relative TSR Performance Rank is between the levels designated in the table below, then the Payout Modifier Percentage shall be determined via linear interpolation between applicable percentages. For example, (1) if the Company’s Relative TSR Performance Rank is at the ____</w:t>
      </w:r>
      <w:r>
        <w:rPr>
          <w:rFonts w:ascii="Times New Roman;serif" w:hAnsi="Times New Roman;serif"/>
          <w:b w:val="false"/>
          <w:color w:val="000000"/>
          <w:sz w:val="16"/>
        </w:rPr>
        <w:t xml:space="preserve">th </w:t>
      </w:r>
      <w:r>
        <w:rPr>
          <w:rFonts w:ascii="Times New Roman;serif" w:hAnsi="Times New Roman;serif"/>
          <w:b w:val="false"/>
          <w:color w:val="000000"/>
          <w:sz w:val="24"/>
        </w:rPr>
        <w:t>percentile, the Relative TSR Modifier would be calculated as ____%, and (2) if the Company’s Relative TSR Performance Rank is at the ____</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percentile, then the Relative TSR Modifier would be calculated as ____%.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tbl>
      <w:tblPr>
        <w:tblW w:w="7095" w:type="dxa"/>
        <w:jc w:val="left"/>
        <w:tblInd w:w="0" w:type="dxa"/>
        <w:tblLayout w:type="fixed"/>
        <w:tblCellMar>
          <w:top w:w="28" w:type="dxa"/>
          <w:left w:w="28" w:type="dxa"/>
          <w:bottom w:w="28" w:type="dxa"/>
          <w:right w:w="28" w:type="dxa"/>
        </w:tblCellMar>
      </w:tblPr>
      <w:tblGrid>
        <w:gridCol w:w="397"/>
        <w:gridCol w:w="348"/>
        <w:gridCol w:w="351"/>
        <w:gridCol w:w="1159"/>
        <w:gridCol w:w="1159"/>
        <w:gridCol w:w="1161"/>
        <w:gridCol w:w="737"/>
        <w:gridCol w:w="737"/>
        <w:gridCol w:w="1046"/>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rFonts w:ascii="Times New Roman;serif" w:hAnsi="Times New Roman;serif"/>
                <w:b/>
                <w:color w:val="000000"/>
                <w:sz w:val="24"/>
                <w:u w:val="single"/>
              </w:rPr>
            </w:pPr>
            <w:r>
              <w:rPr>
                <w:rFonts w:ascii="Times New Roman;serif" w:hAnsi="Times New Roman;serif"/>
                <w:b/>
                <w:color w:val="000000"/>
                <w:sz w:val="24"/>
                <w:u w:val="single"/>
              </w:rPr>
              <w:t>Level</w:t>
            </w:r>
          </w:p>
        </w:tc>
        <w:tc>
          <w:tcPr>
            <w:tcW w:w="34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rFonts w:ascii="Times New Roman;serif" w:hAnsi="Times New Roman;serif"/>
                <w:b/>
                <w:color w:val="000000"/>
                <w:sz w:val="24"/>
                <w:u w:val="single"/>
              </w:rPr>
            </w:pPr>
            <w:r>
              <w:rPr>
                <w:rFonts w:ascii="Times New Roman;serif" w:hAnsi="Times New Roman;serif"/>
                <w:b/>
                <w:color w:val="000000"/>
                <w:sz w:val="24"/>
                <w:u w:val="single"/>
              </w:rPr>
              <w:t>Relative TSR Performance Rank</w:t>
            </w:r>
          </w:p>
        </w:tc>
        <w:tc>
          <w:tcPr>
            <w:tcW w:w="25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Relative TSR Modifier </w:t>
            </w:r>
          </w:p>
        </w:tc>
      </w:tr>
      <w:tr>
        <w:trPr/>
        <w:tc>
          <w:tcPr>
            <w:tcW w:w="109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Maximum</w:t>
            </w:r>
          </w:p>
        </w:tc>
        <w:tc>
          <w:tcPr>
            <w:tcW w:w="34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val="false"/>
                <w:color w:val="000000"/>
                <w:sz w:val="24"/>
              </w:rPr>
              <w:t>____</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or Higher</w:t>
            </w:r>
          </w:p>
        </w:tc>
        <w:tc>
          <w:tcPr>
            <w:tcW w:w="252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w:t>
            </w:r>
          </w:p>
        </w:tc>
      </w:tr>
      <w:tr>
        <w:trPr/>
        <w:tc>
          <w:tcPr>
            <w:tcW w:w="109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Target</w:t>
            </w:r>
          </w:p>
        </w:tc>
        <w:tc>
          <w:tcPr>
            <w:tcW w:w="34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40" w:after="40"/>
              <w:jc w:val="center"/>
              <w:rPr/>
            </w:pPr>
            <w:r>
              <w:rPr>
                <w:rFonts w:ascii="Times New Roman;serif" w:hAnsi="Times New Roman;serif"/>
                <w:b w:val="false"/>
                <w:color w:val="000000"/>
                <w:sz w:val="24"/>
              </w:rPr>
              <w:t>____</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w:t>
            </w:r>
          </w:p>
        </w:tc>
        <w:tc>
          <w:tcPr>
            <w:tcW w:w="252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w:t>
            </w:r>
          </w:p>
        </w:tc>
      </w:tr>
      <w:tr>
        <w:trPr/>
        <w:tc>
          <w:tcPr>
            <w:tcW w:w="109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Threshold</w:t>
            </w:r>
          </w:p>
        </w:tc>
        <w:tc>
          <w:tcPr>
            <w:tcW w:w="34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center"/>
              <w:rPr/>
            </w:pPr>
            <w:r>
              <w:rPr>
                <w:rFonts w:ascii="Times New Roman;serif" w:hAnsi="Times New Roman;serif"/>
                <w:b w:val="false"/>
                <w:color w:val="000000"/>
                <w:sz w:val="24"/>
              </w:rPr>
              <w:t>____</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percentile or Lower</w:t>
            </w:r>
          </w:p>
        </w:tc>
        <w:tc>
          <w:tcPr>
            <w:tcW w:w="252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____%</w:t>
            </w:r>
          </w:p>
        </w:tc>
      </w:tr>
    </w:tbl>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Following determination of both the AFFO Achievement Percentage and the Relative TSR Modifier, the final overall level of achievement (“Final Achievement Percentage”) shall be determined by multiplying the AFFO Achievement Percentage and the Relative TSR Modifier. Notwithstanding the foregoing, the Final Achievement Percentage (i) shall not exceed ____%; and (ii) provided the AFFO Achievement Percentage is greater than or equal to ____%, shall not be less than ____%.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final number of Units, if any, subject to this Exhibit C at the end of the Performance Period shall be calculated as the initial number (Target Level) of Units multiplied by the Final Achievement Percentage, as defined above.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For purposes of calculating the Company’s Relative TSR Performance Rank, the following definitions shall be used for the Company and each constituent of the TSR Peer Group: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Annualized TSR shall be calculated as follows: </w:t>
      </w:r>
    </w:p>
    <w:p>
      <w:pPr>
        <w:pStyle w:val="TextBody"/>
        <w:bidi w:val="0"/>
        <w:spacing w:before="0" w:after="0"/>
        <w:jc w:val="center"/>
        <w:rPr/>
      </w:pPr>
      <w:r>
        <w:rPr/>
        <w:drawing>
          <wp:inline distT="0" distB="0" distL="0" distR="0">
            <wp:extent cx="5029200" cy="571500"/>
            <wp:effectExtent l="0" t="0" r="0" b="0"/>
            <wp:docPr id="5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 descr=""/>
                    <pic:cNvPicPr>
                      <a:picLocks noChangeAspect="1" noChangeArrowheads="1"/>
                    </pic:cNvPicPr>
                  </pic:nvPicPr>
                  <pic:blipFill>
                    <a:blip r:embed="rId12"/>
                    <a:stretch>
                      <a:fillRect/>
                    </a:stretch>
                  </pic:blipFill>
                  <pic:spPr bwMode="auto">
                    <a:xfrm>
                      <a:off x="0" y="0"/>
                      <a:ext cx="5029200" cy="5715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where </w:t>
      </w:r>
      <w:r>
        <w:rPr>
          <w:rFonts w:ascii="Times New Roman;serif" w:hAnsi="Times New Roman;serif"/>
          <w:b w:val="false"/>
          <w:i/>
          <w:color w:val="000000"/>
          <w:sz w:val="24"/>
        </w:rPr>
        <w:t>n</w:t>
      </w:r>
      <w:r>
        <w:rPr>
          <w:color w:val="000000"/>
        </w:rPr>
        <w:t xml:space="preserve"> </w:t>
      </w:r>
      <w:r>
        <w:rPr>
          <w:rFonts w:ascii="Times New Roman;serif" w:hAnsi="Times New Roman;serif"/>
          <w:b w:val="false"/>
          <w:color w:val="000000"/>
          <w:sz w:val="24"/>
        </w:rPr>
        <w:t>represents the number of years over which Annualized TSR is measured.</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Ending Average Stock Price</w:t>
      </w:r>
      <w:r>
        <w:rPr>
          <w:color w:val="000000"/>
        </w:rPr>
        <w:t xml:space="preserve">” </w:t>
      </w:r>
      <w:r>
        <w:rPr>
          <w:rFonts w:ascii="Times New Roman;serif" w:hAnsi="Times New Roman;serif"/>
          <w:b w:val="false"/>
          <w:color w:val="000000"/>
          <w:sz w:val="24"/>
        </w:rPr>
        <w:t xml:space="preserve">shall be calculated as the average Closing Stock Price for the last 10 trading days of the Performance Period. </w:t>
      </w:r>
    </w:p>
    <w:p>
      <w:pPr>
        <w:pStyle w:val="TextBody"/>
        <w:bidi w:val="0"/>
        <w:spacing w:lineRule="auto" w:line="288" w:before="0" w:after="240"/>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Beginning Average Stock Price</w:t>
      </w:r>
      <w:r>
        <w:rPr>
          <w:color w:val="000000"/>
        </w:rPr>
        <w:t xml:space="preserve">” </w:t>
      </w:r>
      <w:r>
        <w:rPr>
          <w:rFonts w:ascii="Times New Roman;serif" w:hAnsi="Times New Roman;serif"/>
          <w:b w:val="false"/>
          <w:color w:val="000000"/>
          <w:sz w:val="24"/>
        </w:rPr>
        <w:t>shall be calculated as the average Closing Stock Price for the last 10 trading days prior to the first day of the Performance Period.</w:t>
      </w:r>
    </w:p>
    <w:p>
      <w:pPr>
        <w:pStyle w:val="TextBody"/>
        <w:bidi w:val="0"/>
        <w:spacing w:lineRule="auto" w:line="288" w:before="0" w:after="240"/>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Closing Stock Price</w:t>
      </w:r>
      <w:r>
        <w:rPr>
          <w:color w:val="000000"/>
        </w:rPr>
        <w:t xml:space="preserve">” </w:t>
      </w:r>
      <w:r>
        <w:rPr>
          <w:rFonts w:ascii="Times New Roman;serif" w:hAnsi="Times New Roman;serif"/>
          <w:b w:val="false"/>
          <w:color w:val="000000"/>
          <w:sz w:val="24"/>
        </w:rPr>
        <w:t>of a share of Stock shall be the closing quotation on the New York Stock Exchange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for the applicable date (or an applicable substitute exchange or quotation system if the NYSE is no longer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Reinvested Dividend Amount</w:t>
      </w:r>
      <w:r>
        <w:rPr>
          <w:color w:val="000000"/>
        </w:rPr>
        <w:t xml:space="preserve">” </w:t>
      </w:r>
      <w:r>
        <w:rPr>
          <w:rFonts w:ascii="Times New Roman;serif" w:hAnsi="Times New Roman;serif"/>
          <w:b w:val="false"/>
          <w:color w:val="000000"/>
          <w:sz w:val="24"/>
        </w:rPr>
        <w:t>shall be calculated as the sum of the total dividends paid</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on one share of Stock during the Performance Period, assuming reinvestment of such dividends in such stock (based on the Closing Stock Price of such Stock on the ex-dividend date). For the avoidance of doubt, it is intended that the foregoing calculation of Reinvested Dividend Amount shall take into account not only the reinvestment of dividends in a share of Stock but also capital appreciation or depreciation in the shares deemed acquired by such reinvestment.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Annualized TSR for the TSR Peer Group companies will be determined using the calculation method described above based on information specific to the TSR Peer Group companies.</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Adjustments to TSR Peer Group. The TSR Peer Group may be adjusted or changed by the Committee as circumstances warrant, including the following:</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    If a TSR Peer Group company files for bankruptcy under any chapter of the US Bankruptcy Code (“Becomes Bankrupt”), the company so filing (“Bankrupt Company”) will remain in the TSR Peer Group positioned at one level below the lowest performing non-bankrupt TSR Peer Group. In the case of multiple Bankrupt Companies, the TSR Peer Group Bankrupt Companies will be positioned below the non-Bankrupt Companies in chronological order by date of filing for bankruptcy with the first to file for bankruptcy at the bottom.</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    If a TSR Peer Group company is acquired by another company, including through a management buy-out or going-private transaction, the acquired TSR Peer Group company will be removed from the TSR Peer Group for the entire Performance Period; provided that if the acquired TSR Peer Group company became bankrupt prior to its acquisition it shall be treated as provided in paragraph (1), above, or if it shall become delisted according to paragraph (5) below prior to its acquisition it shall be treated as provided in paragraph (5).</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(3)    If a TSR Peer Group company spins-off a portion a portion of its business in a manner which results in the TSR Peer Group company and the spin-off company both being publicly traded, the TSR Peer Group company will be </w:t>
      </w:r>
    </w:p>
    <w:p>
      <w:pPr>
        <w:pStyle w:val="TextBody"/>
        <w:bidi w:val="0"/>
        <w:spacing w:lineRule="auto" w:line="288" w:before="0" w:after="0"/>
        <w:jc w:val="both"/>
        <w:rPr/>
      </w:pPr>
      <w:r>
        <w:rPr>
          <w:rFonts w:ascii="Georgia;serif" w:hAnsi="Georgia;serif"/>
          <w:b w:val="false"/>
          <w:color w:val="000000"/>
          <w:sz w:val="12"/>
        </w:rPr>
        <w:t>2</w:t>
      </w:r>
      <w:r>
        <w:rPr>
          <w:color w:val="000000"/>
        </w:rPr>
        <w:t xml:space="preserve"> </w:t>
      </w:r>
      <w:r>
        <w:rPr>
          <w:rFonts w:ascii="Times New Roman;serif" w:hAnsi="Times New Roman;serif"/>
          <w:b w:val="false"/>
          <w:color w:val="000000"/>
          <w:sz w:val="20"/>
        </w:rPr>
        <w:t xml:space="preserve">The relevant date for determining whether a dividend is included in the calculation of “Reinvested Dividend Amount” is the ex-dividend date (and not the payment date). In the event that the stock of the measured company goes ex-dividend during the Performance Period (including the 10-day trading period during which the Ending Average Stock Price is to be calculated), such dividend shall be included in the determination of “Reinvested Dividend Amount,” notwithstanding the fact that the payment date of such dividend may actually occur after the conclusion of the Performance Period. In the event that the stock of the measured company goes ex-dividend prior to the commencement of the Performance Period (for example, during the 10-day trading period during which the Beginning Average Stock Price is to be calculated), such dividend shall </w:t>
      </w:r>
      <w:r>
        <w:rPr>
          <w:rFonts w:ascii="Times New Roman;serif" w:hAnsi="Times New Roman;serif"/>
          <w:b w:val="false"/>
          <w:i/>
          <w:color w:val="000000"/>
          <w:sz w:val="20"/>
        </w:rPr>
        <w:t>not</w:t>
      </w:r>
      <w:r>
        <w:rPr>
          <w:color w:val="000000"/>
        </w:rPr>
        <w:t xml:space="preserve"> </w:t>
      </w:r>
      <w:r>
        <w:rPr>
          <w:rFonts w:ascii="Times New Roman;serif" w:hAnsi="Times New Roman;serif"/>
          <w:b w:val="false"/>
          <w:color w:val="000000"/>
          <w:sz w:val="20"/>
        </w:rPr>
        <w:t>be included in the termination of “Reinvested Dividend Amount,” notwithstanding the fact that the payment date of such dividend may actually occur during the Performance Period.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removed from the TSR Peer Group for the entire Performance Period and the spin-off company will not be added to the TSR Peer Group.</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    If a TSR Peer Group company acquires another company, the acquiring TSR Peer Group company will remain in the TSR Peer Group for the Performance Period.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    If a TSR Peer Group company is delisted from either the New York Stock Exchange (NYSE) or the National Association of Securities Dealers Automated Quotations (NASDAQ) such that it is no longer listed on either exchange, such delisted TSR Peer Group company will remain in the TSR Peer Group positioned at one level below the lowest performing listed company and above the highest ranked bankrupt TSR Peer Group company (see paragraph (1) above). In the case of multiple delistings, the delisted TSR Peer Group companies will be positioned below the listed and above the TSR Peer Group Bankrupt Companies in chronological order by delisting date with the first to be delisted at the bottom of the delisted companies. If a delisted company Becomes Bankrupt, it shall be treated as provided in paragraph (1) above. If a delisted company shall be later acquired, it shall be treated as a delisted company under this paragraph. If a delisted company shall relist during the Performance Period, it shall remain in its relative delisted position determined under this paragraph.</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    If the Company’s or any TSR Peer Group company’s stock splits (or if there are other similar subdivisions, consolidations or changes in such company’s stock or capitalization), such company’s Annualized TSR performance will be adjusted for the stock split so as not to give an advantage or disadvantage to such company by comparison to the other TSR Peer Group companies.</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In addition to any other authority or powers granted to the Committee herein or in the 2022 Plan, the Committee shall have the authority to interpret and determine the application and calculation of any matter relating to the determination of Cumulative AFFO per Share, Relative TSR Performance Rank, Annualized TSR, Final Achievement Percentage, AFFO Achievement Percentage, relative TSR Modifier, including any terms in the Agreement or this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related thereto. The Committee shall also have the power to make any and all adjustments it deems appropriate (1) in recognition of unusual or nonrecurring events affecting the Company or any TSR Group Company or the financial statements of the Company or any TSR Group Company, or of any changes in applicable laws, regulations or accounting principles or (2) reflect any changes in the Company’s or any TSR Group Company’s outstanding Stock, including by reason of subdivision or consolidation of Stock or other capital readjustment, the payment of a stock dividend on the Stock, other increase or reduction in the number of shares of Stock outstanding, recapitalizations, reorganizations, mergers, consolidations, combinations, split-ups, split-offs, spin-offs, exchanges or other relevant changes in capitalization or distributions to holders of Stock. The determination of the Committee with respect to any such matter shall be conclusive.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Holder shall receive Dividend Equivalent payments with respect to each share of Distributed Stock as if Holder had held such share since the Grant Date.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Christian H. Hillabrant,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report on Form 10-Q of Crown Castle Inc. ("registrant");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8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180" w:after="283"/>
        <w:jc w:val="left"/>
        <w:rPr/>
      </w:pPr>
      <w:r>
        <w:rPr/>
      </w:r>
    </w:p>
    <w:tbl>
      <w:tblPr>
        <w:tblW w:w="3879" w:type="dxa"/>
        <w:jc w:val="right"/>
        <w:tblInd w:w="0" w:type="dxa"/>
        <w:tblLayout w:type="fixed"/>
        <w:tblCellMar>
          <w:top w:w="28" w:type="dxa"/>
          <w:left w:w="28" w:type="dxa"/>
          <w:bottom w:w="28" w:type="dxa"/>
          <w:right w:w="28" w:type="dxa"/>
        </w:tblCellMar>
      </w:tblPr>
      <w:tblGrid>
        <w:gridCol w:w="124"/>
        <w:gridCol w:w="109"/>
        <w:gridCol w:w="109"/>
        <w:gridCol w:w="1054"/>
        <w:gridCol w:w="1054"/>
        <w:gridCol w:w="10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H. Hillabrant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H. Hillabrant</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Sunit S. Patel,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report on Form 10-Q of Crown Castle Inc. ("registrant");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80"/>
        <w:jc w:val="both"/>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180" w:after="283"/>
        <w:jc w:val="left"/>
        <w:rPr/>
      </w:pPr>
      <w:r>
        <w:rPr/>
      </w:r>
    </w:p>
    <w:tbl>
      <w:tblPr>
        <w:tblW w:w="5109" w:type="dxa"/>
        <w:jc w:val="right"/>
        <w:tblInd w:w="0" w:type="dxa"/>
        <w:tblLayout w:type="fixed"/>
        <w:tblCellMar>
          <w:top w:w="28" w:type="dxa"/>
          <w:left w:w="28" w:type="dxa"/>
          <w:bottom w:w="28" w:type="dxa"/>
          <w:right w:w="28" w:type="dxa"/>
        </w:tblCellMar>
      </w:tblPr>
      <w:tblGrid>
        <w:gridCol w:w="124"/>
        <w:gridCol w:w="109"/>
        <w:gridCol w:w="109"/>
        <w:gridCol w:w="1462"/>
        <w:gridCol w:w="1462"/>
        <w:gridCol w:w="14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Sunit S. Patel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Sunit S. Patel</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Crown Castle Inc., a Delaware Corporation ("Company"), for the period ended March 31, 2026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 </w:t>
      </w:r>
    </w:p>
    <w:p>
      <w:pPr>
        <w:pStyle w:val="TextBody"/>
        <w:bidi w:val="0"/>
        <w:spacing w:before="0" w:after="0"/>
        <w:jc w:val="both"/>
        <w:rPr/>
      </w:pPr>
      <w:r>
        <w:rPr/>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complies with the requirements of Section 13(a) or 15(d) of the Securities Exchange Act of 1934;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as of March 31, 2026 (the last date of the period covered by the Report). </w:t>
      </w:r>
    </w:p>
    <w:p>
      <w:pPr>
        <w:pStyle w:val="TextBody"/>
        <w:bidi w:val="0"/>
        <w:spacing w:before="0" w:after="180"/>
        <w:jc w:val="both"/>
        <w:rPr/>
      </w:pPr>
      <w:r>
        <w:rPr/>
      </w:r>
    </w:p>
    <w:tbl>
      <w:tblPr>
        <w:tblW w:w="5108" w:type="dxa"/>
        <w:jc w:val="center"/>
        <w:tblInd w:w="0" w:type="dxa"/>
        <w:tblLayout w:type="fixed"/>
        <w:tblCellMar>
          <w:top w:w="28" w:type="dxa"/>
          <w:left w:w="28" w:type="dxa"/>
          <w:bottom w:w="28" w:type="dxa"/>
          <w:right w:w="28" w:type="dxa"/>
        </w:tblCellMar>
      </w:tblPr>
      <w:tblGrid>
        <w:gridCol w:w="124"/>
        <w:gridCol w:w="109"/>
        <w:gridCol w:w="109"/>
        <w:gridCol w:w="1463"/>
        <w:gridCol w:w="1463"/>
        <w:gridCol w:w="14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H. Hillabrant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H. Hillabrant</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Sunit S. Patel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Sunit S. Patel</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5"/>
        <w:jc w:val="both"/>
        <w:rPr/>
      </w:pPr>
      <w:r>
        <w:rPr/>
      </w:r>
    </w:p>
    <w:p>
      <w:pPr>
        <w:pStyle w:val="TextBody"/>
        <w:bidi w:val="0"/>
        <w:spacing w:before="0" w:after="2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51470/000095014225000762/eh250603725_ex0201.htm" TargetMode="External"/><Relationship Id="rId5" Type="http://schemas.openxmlformats.org/officeDocument/2006/relationships/hyperlink" Target="https://www.sec.gov/Archives/edgar/data/1051470/000105147025000147/exhibit31-amendedandrestat.htm" TargetMode="External"/><Relationship Id="rId6" Type="http://schemas.openxmlformats.org/officeDocument/2006/relationships/hyperlink" Target="https://www.sec.gov/Archives/edgar/data/1051470/000105147024000223/secondamendedandrestatedby.htm" TargetMode="External"/><Relationship Id="rId7" Type="http://schemas.openxmlformats.org/officeDocument/2006/relationships/hyperlink" Target="https://www.sec.gov/Archives/edgar/data/1051470/000105147025000033/exhibit31-firstamendmentto.htm" TargetMode="External"/><Relationship Id="rId8" Type="http://schemas.openxmlformats.org/officeDocument/2006/relationships/hyperlink" Target="https://www.sec.gov/Archives/edgar/data/1051470/000105147026000019/exhibit101-2026emtannualin.htm" TargetMode="External"/><Relationship Id="rId9" Type="http://schemas.openxmlformats.org/officeDocument/2006/relationships/hyperlink" Target="https://www.sec.gov/Archives/edgar/data/1051470/000105147026000019/exhibit101-2026emtannualin.htm" TargetMode="External"/><Relationship Id="rId10" Type="http://schemas.openxmlformats.org/officeDocument/2006/relationships/hyperlink" Target="https://www.sec.gov/Archives/edgar/data/1051470/000105147026000055/exhibit101-2026creditfacil.htm" TargetMode="External"/><Relationship Id="rId11" Type="http://schemas.openxmlformats.org/officeDocument/2006/relationships/image" Target="media/image3.png"/><Relationship Id="rId12" Type="http://schemas.openxmlformats.org/officeDocument/2006/relationships/image" Target="media/image3.pn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28341</Words>
  <Characters>158143</Characters>
  <CharactersWithSpaces>185333</CharactersWithSpaces>
  <Paragraphs>2485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