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4"/>
          <w:szCs w:val="14"/>
          <w:color w:val="auto"/>
        </w:rPr>
        <w:t>____________________________________</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ind w:left="4420"/>
        <w:spacing w:after="0"/>
        <w:rPr>
          <w:sz w:val="20"/>
          <w:szCs w:val="20"/>
          <w:color w:val="auto"/>
        </w:rPr>
      </w:pPr>
      <w:r>
        <w:rPr>
          <w:rFonts w:ascii="Arial" w:cs="Arial" w:eastAsia="Arial" w:hAnsi="Arial"/>
          <w:sz w:val="14"/>
          <w:szCs w:val="14"/>
          <w:color w:val="auto"/>
        </w:rPr>
        <w:t>____________________________________</w:t>
      </w:r>
    </w:p>
    <w:p>
      <w:pPr>
        <w:sectPr>
          <w:pgSz w:w="11900" w:h="16838" w:orient="portrait"/>
          <w:cols w:equalWidth="0" w:num="1">
            <w:col w:w="11440"/>
          </w:cols>
          <w:pgMar w:left="240" w:top="1188" w:right="219" w:bottom="1440" w:gutter="0" w:footer="0" w:header="0"/>
        </w:sectPr>
      </w:pPr>
    </w:p>
    <w:p>
      <w:pPr>
        <w:spacing w:after="0" w:line="122" w:lineRule="exact"/>
        <w:rPr>
          <w:sz w:val="24"/>
          <w:szCs w:val="24"/>
          <w:color w:val="auto"/>
        </w:rPr>
      </w:pPr>
    </w:p>
    <w:p>
      <w:pPr>
        <w:ind w:left="1160"/>
        <w:spacing w:after="0" w:line="191" w:lineRule="exact"/>
        <w:rPr>
          <w:sz w:val="20"/>
          <w:szCs w:val="20"/>
          <w:color w:val="auto"/>
        </w:rPr>
      </w:pPr>
      <w:r>
        <w:rPr>
          <w:rFonts w:ascii="MS PGothic" w:cs="MS PGothic" w:eastAsia="MS PGothic" w:hAnsi="MS PGothic"/>
          <w:sz w:val="19"/>
          <w:szCs w:val="19"/>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left="116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89" w:lineRule="exact"/>
        <w:rPr>
          <w:sz w:val="24"/>
          <w:szCs w:val="24"/>
          <w:color w:val="auto"/>
        </w:rPr>
      </w:pPr>
    </w:p>
    <w:p>
      <w:pPr>
        <w:jc w:val="center"/>
        <w:ind w:right="1480"/>
        <w:spacing w:after="0"/>
        <w:rPr>
          <w:sz w:val="20"/>
          <w:szCs w:val="20"/>
          <w:color w:val="auto"/>
        </w:rPr>
      </w:pPr>
      <w:r>
        <w:rPr>
          <w:rFonts w:ascii="Arial" w:cs="Arial" w:eastAsia="Arial" w:hAnsi="Arial"/>
          <w:sz w:val="14"/>
          <w:szCs w:val="14"/>
          <w:color w:val="auto"/>
        </w:rPr>
        <w:t>For the quarterly period ended June 30, 2019</w:t>
      </w:r>
    </w:p>
    <w:p>
      <w:pPr>
        <w:spacing w:after="0" w:line="42" w:lineRule="exact"/>
        <w:rPr>
          <w:sz w:val="24"/>
          <w:szCs w:val="24"/>
          <w:color w:val="auto"/>
        </w:rPr>
      </w:pPr>
    </w:p>
    <w:p>
      <w:pPr>
        <w:jc w:val="center"/>
        <w:ind w:right="1480"/>
        <w:spacing w:after="0"/>
        <w:rPr>
          <w:sz w:val="20"/>
          <w:szCs w:val="20"/>
          <w:color w:val="auto"/>
        </w:rPr>
      </w:pPr>
      <w:r>
        <w:rPr>
          <w:rFonts w:ascii="Arial" w:cs="Arial" w:eastAsia="Arial" w:hAnsi="Arial"/>
          <w:sz w:val="14"/>
          <w:szCs w:val="14"/>
          <w:color w:val="auto"/>
        </w:rPr>
        <w:t>OR</w:t>
      </w:r>
    </w:p>
    <w:p>
      <w:pPr>
        <w:spacing w:after="0" w:line="30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7" w:lineRule="exact"/>
        <w:rPr>
          <w:sz w:val="24"/>
          <w:szCs w:val="24"/>
          <w:color w:val="auto"/>
        </w:rPr>
      </w:pPr>
    </w:p>
    <w:p>
      <w:pPr>
        <w:sectPr>
          <w:pgSz w:w="11900" w:h="16838" w:orient="portrait"/>
          <w:cols w:equalWidth="0" w:num="2">
            <w:col w:w="1360" w:space="100"/>
            <w:col w:w="9980"/>
          </w:cols>
          <w:pgMar w:left="240" w:top="1188" w:right="219" w:bottom="1440" w:gutter="0" w:footer="0" w:header="0"/>
          <w:type w:val="continuous"/>
        </w:sectPr>
      </w:pPr>
    </w:p>
    <w:p>
      <w:pPr>
        <w:ind w:left="4480"/>
        <w:spacing w:after="0"/>
        <w:tabs>
          <w:tab w:leader="none" w:pos="6360" w:val="left"/>
        </w:tabs>
        <w:rPr>
          <w:sz w:val="20"/>
          <w:szCs w:val="20"/>
          <w:color w:val="auto"/>
        </w:rPr>
      </w:pPr>
      <w:r>
        <w:rPr>
          <w:rFonts w:ascii="Arial" w:cs="Arial" w:eastAsia="Arial" w:hAnsi="Arial"/>
          <w:sz w:val="14"/>
          <w:szCs w:val="14"/>
          <w:color w:val="auto"/>
        </w:rPr>
        <w:t>For the transition period</w:t>
      </w:r>
      <w:r>
        <w:rPr>
          <w:sz w:val="20"/>
          <w:szCs w:val="20"/>
          <w:color w:val="auto"/>
        </w:rPr>
        <w:tab/>
      </w:r>
      <w:r>
        <w:rPr>
          <w:rFonts w:ascii="Arial" w:cs="Arial" w:eastAsia="Arial" w:hAnsi="Arial"/>
          <w:sz w:val="11"/>
          <w:szCs w:val="11"/>
          <w:color w:val="auto"/>
        </w:rPr>
        <w:t>to</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Commission File Number 333-187970</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4"/>
          <w:szCs w:val="14"/>
          <w:color w:val="auto"/>
        </w:rPr>
        <w:t>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CC HOLDINGS GS V LLC</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2" w:lineRule="exact"/>
        <w:rPr>
          <w:sz w:val="24"/>
          <w:szCs w:val="24"/>
          <w:color w:val="auto"/>
        </w:rPr>
      </w:pPr>
    </w:p>
    <w:tbl>
      <w:tblPr>
        <w:tblLayout w:type="fixed"/>
        <w:tblInd w:w="2500" w:type="dxa"/>
        <w:tblCellMar>
          <w:top w:w="0" w:type="dxa"/>
          <w:left w:w="0" w:type="dxa"/>
          <w:bottom w:w="0" w:type="dxa"/>
          <w:right w:w="0" w:type="dxa"/>
        </w:tblCellMar>
      </w:tblPr>
      <w:tr>
        <w:trPr>
          <w:trHeight w:val="210"/>
        </w:trPr>
        <w:tc>
          <w:tcPr>
            <w:tcW w:w="3400" w:type="dxa"/>
            <w:vAlign w:val="bottom"/>
          </w:tcPr>
          <w:p>
            <w:pPr>
              <w:jc w:val="center"/>
              <w:ind w:right="1551"/>
              <w:spacing w:after="0"/>
              <w:rPr>
                <w:sz w:val="20"/>
                <w:szCs w:val="20"/>
                <w:color w:val="auto"/>
              </w:rPr>
            </w:pPr>
            <w:r>
              <w:rPr>
                <w:rFonts w:ascii="Arial" w:cs="Arial" w:eastAsia="Arial" w:hAnsi="Arial"/>
                <w:sz w:val="16"/>
                <w:szCs w:val="16"/>
                <w:b w:val="1"/>
                <w:bCs w:val="1"/>
                <w:color w:val="auto"/>
                <w:w w:val="93"/>
              </w:rPr>
              <w:t>Delaware</w:t>
            </w:r>
          </w:p>
        </w:tc>
        <w:tc>
          <w:tcPr>
            <w:tcW w:w="2600" w:type="dxa"/>
            <w:vAlign w:val="bottom"/>
          </w:tcPr>
          <w:p>
            <w:pPr>
              <w:jc w:val="center"/>
              <w:ind w:left="1551"/>
              <w:spacing w:after="0"/>
              <w:rPr>
                <w:sz w:val="20"/>
                <w:szCs w:val="20"/>
                <w:color w:val="auto"/>
              </w:rPr>
            </w:pPr>
            <w:r>
              <w:rPr>
                <w:rFonts w:ascii="Arial" w:cs="Arial" w:eastAsia="Arial" w:hAnsi="Arial"/>
                <w:sz w:val="16"/>
                <w:szCs w:val="16"/>
                <w:b w:val="1"/>
                <w:bCs w:val="1"/>
                <w:color w:val="auto"/>
                <w:w w:val="91"/>
              </w:rPr>
              <w:t>20-4300339</w:t>
            </w:r>
          </w:p>
        </w:tc>
      </w:tr>
      <w:tr>
        <w:trPr>
          <w:trHeight w:val="177"/>
        </w:trPr>
        <w:tc>
          <w:tcPr>
            <w:tcW w:w="3400" w:type="dxa"/>
            <w:vAlign w:val="bottom"/>
          </w:tcPr>
          <w:p>
            <w:pPr>
              <w:jc w:val="center"/>
              <w:ind w:right="1571"/>
              <w:spacing w:after="0"/>
              <w:rPr>
                <w:sz w:val="20"/>
                <w:szCs w:val="20"/>
                <w:color w:val="auto"/>
              </w:rPr>
            </w:pPr>
            <w:r>
              <w:rPr>
                <w:rFonts w:ascii="Arial" w:cs="Arial" w:eastAsia="Arial" w:hAnsi="Arial"/>
                <w:sz w:val="13"/>
                <w:szCs w:val="13"/>
                <w:b w:val="1"/>
                <w:bCs w:val="1"/>
                <w:color w:val="auto"/>
                <w:w w:val="88"/>
              </w:rPr>
              <w:t>(State or other jurisdiction</w:t>
            </w:r>
          </w:p>
        </w:tc>
        <w:tc>
          <w:tcPr>
            <w:tcW w:w="2600" w:type="dxa"/>
            <w:vAlign w:val="bottom"/>
          </w:tcPr>
          <w:p>
            <w:pPr>
              <w:jc w:val="center"/>
              <w:ind w:left="1551"/>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3400" w:type="dxa"/>
            <w:vAlign w:val="bottom"/>
          </w:tcPr>
          <w:p>
            <w:pPr>
              <w:jc w:val="center"/>
              <w:ind w:right="1551"/>
              <w:spacing w:after="0"/>
              <w:rPr>
                <w:sz w:val="20"/>
                <w:szCs w:val="20"/>
                <w:color w:val="auto"/>
              </w:rPr>
            </w:pPr>
            <w:r>
              <w:rPr>
                <w:rFonts w:ascii="Arial" w:cs="Arial" w:eastAsia="Arial" w:hAnsi="Arial"/>
                <w:sz w:val="13"/>
                <w:szCs w:val="13"/>
                <w:b w:val="1"/>
                <w:bCs w:val="1"/>
                <w:color w:val="auto"/>
                <w:w w:val="88"/>
              </w:rPr>
              <w:t>of incorporation or organization)</w:t>
            </w:r>
          </w:p>
        </w:tc>
        <w:tc>
          <w:tcPr>
            <w:tcW w:w="2600" w:type="dxa"/>
            <w:vAlign w:val="bottom"/>
          </w:tcPr>
          <w:p>
            <w:pPr>
              <w:jc w:val="center"/>
              <w:ind w:left="1551"/>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1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1220 Augusta Drive, Suite 600, Houston, Texas 77057-2261</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executives office) (Zip Code)</w:t>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(713) 570-3000</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39" w:lineRule="exact"/>
        <w:rPr>
          <w:sz w:val="24"/>
          <w:szCs w:val="24"/>
          <w:color w:val="auto"/>
        </w:rPr>
      </w:pPr>
    </w:p>
    <w:p>
      <w:pPr>
        <w:ind w:left="4420"/>
        <w:spacing w:after="0"/>
        <w:rPr>
          <w:sz w:val="20"/>
          <w:szCs w:val="20"/>
          <w:color w:val="auto"/>
        </w:rPr>
      </w:pPr>
      <w:r>
        <w:rPr>
          <w:rFonts w:ascii="Arial" w:cs="Arial" w:eastAsia="Arial" w:hAnsi="Arial"/>
          <w:sz w:val="14"/>
          <w:szCs w:val="14"/>
          <w:color w:val="auto"/>
        </w:rPr>
        <w:t>____________________________________</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Securities registered pursuant to Section 12(b) of the Act: None.</w:t>
      </w:r>
    </w:p>
    <w:p>
      <w:pPr>
        <w:spacing w:after="0" w:line="135"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r>
    </w:tbl>
    <w:p>
      <w:pPr>
        <w:spacing w:after="0" w:line="62" w:lineRule="exact"/>
        <w:rPr>
          <w:sz w:val="24"/>
          <w:szCs w:val="24"/>
          <w:color w:val="auto"/>
        </w:rPr>
      </w:pPr>
    </w:p>
    <w:p>
      <w:pPr>
        <w:jc w:val="both"/>
        <w:ind w:right="40" w:firstLine="324"/>
        <w:spacing w:after="0" w:line="22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ind w:right="20" w:firstLine="324"/>
        <w:spacing w:after="0" w:line="257" w:lineRule="auto"/>
        <w:rPr>
          <w:sz w:val="20"/>
          <w:szCs w:val="20"/>
          <w:color w:val="auto"/>
        </w:rPr>
      </w:pPr>
      <w:r>
        <w:rPr>
          <w:rFonts w:ascii="Arial" w:cs="Arial" w:eastAsia="Arial" w:hAnsi="Arial"/>
          <w:sz w:val="14"/>
          <w:szCs w:val="14"/>
          <w:i w:val="1"/>
          <w:iCs w:val="1"/>
          <w:color w:val="auto"/>
        </w:rPr>
        <w:t>Explanatory Note: The registrant is a voluntary filer and not subject to the filing requirements of Section 13 or 15(d) of the Securities Exchange Act of 1934; however, the registrant has filed all reports that would have been required to be filed by Section 13 or 15(d) of the Securities Exchange Act of 1934 during the preceding 12 months had the registrant been subject to such filing requirements.</w:t>
      </w:r>
    </w:p>
    <w:p>
      <w:pPr>
        <w:spacing w:after="0" w:line="158" w:lineRule="exact"/>
        <w:rPr>
          <w:sz w:val="24"/>
          <w:szCs w:val="24"/>
          <w:color w:val="auto"/>
        </w:rPr>
      </w:pPr>
    </w:p>
    <w:p>
      <w:pPr>
        <w:jc w:val="both"/>
        <w:ind w:right="20" w:firstLine="324"/>
        <w:spacing w:after="0" w:line="22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340" w:type="dxa"/>
        <w:tblCellMar>
          <w:top w:w="0" w:type="dxa"/>
          <w:left w:w="0" w:type="dxa"/>
          <w:bottom w:w="0" w:type="dxa"/>
          <w:right w:w="0" w:type="dxa"/>
        </w:tblCellMar>
      </w:tblPr>
      <w:tr>
        <w:trPr>
          <w:trHeight w:val="270"/>
        </w:trPr>
        <w:tc>
          <w:tcPr>
            <w:tcW w:w="2520" w:type="dxa"/>
            <w:vAlign w:val="bottom"/>
          </w:tcPr>
          <w:p>
            <w:pPr>
              <w:ind w:left="900"/>
              <w:spacing w:after="0"/>
              <w:rPr>
                <w:sz w:val="20"/>
                <w:szCs w:val="20"/>
                <w:color w:val="auto"/>
              </w:rPr>
            </w:pPr>
            <w:r>
              <w:rPr>
                <w:rFonts w:ascii="Arial" w:cs="Arial" w:eastAsia="Arial" w:hAnsi="Arial"/>
                <w:sz w:val="14"/>
                <w:szCs w:val="14"/>
                <w:color w:val="auto"/>
              </w:rPr>
              <w:t>Large accelerated filer</w:t>
            </w:r>
          </w:p>
        </w:tc>
        <w:tc>
          <w:tcPr>
            <w:tcW w:w="44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140" w:type="dxa"/>
            <w:vAlign w:val="bottom"/>
          </w:tcPr>
          <w:p>
            <w:pPr>
              <w:ind w:left="4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520" w:type="dxa"/>
            <w:vAlign w:val="bottom"/>
          </w:tcPr>
          <w:p>
            <w:pPr>
              <w:ind w:left="900"/>
              <w:spacing w:after="0"/>
              <w:rPr>
                <w:sz w:val="20"/>
                <w:szCs w:val="20"/>
                <w:color w:val="auto"/>
              </w:rPr>
            </w:pPr>
            <w:r>
              <w:rPr>
                <w:rFonts w:ascii="Arial" w:cs="Arial" w:eastAsia="Arial" w:hAnsi="Arial"/>
                <w:sz w:val="14"/>
                <w:szCs w:val="14"/>
                <w:color w:val="auto"/>
              </w:rPr>
              <w:t>Non-accelerated filer</w:t>
            </w:r>
          </w:p>
        </w:tc>
        <w:tc>
          <w:tcPr>
            <w:tcW w:w="44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140" w:type="dxa"/>
            <w:vAlign w:val="bottom"/>
          </w:tcPr>
          <w:p>
            <w:pPr>
              <w:ind w:left="4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140" w:type="dxa"/>
            <w:vAlign w:val="bottom"/>
          </w:tcPr>
          <w:p>
            <w:pPr>
              <w:ind w:left="4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56"/>
        </w:trPr>
        <w:tc>
          <w:tcPr>
            <w:tcW w:w="9740" w:type="dxa"/>
            <w:vAlign w:val="bottom"/>
            <w:gridSpan w:val="4"/>
          </w:tcPr>
          <w:p>
            <w:pPr>
              <w:ind w:left="900"/>
              <w:spacing w:after="0" w:line="155" w:lineRule="exact"/>
              <w:rPr>
                <w:sz w:val="20"/>
                <w:szCs w:val="20"/>
                <w:color w:val="auto"/>
              </w:rPr>
            </w:pPr>
            <w:r>
              <w:rPr>
                <w:rFonts w:ascii="Arial" w:cs="Arial" w:eastAsia="Arial" w:hAnsi="Arial"/>
                <w:sz w:val="14"/>
                <w:szCs w:val="14"/>
                <w:color w:val="auto"/>
                <w:w w:val="93"/>
              </w:rPr>
              <w:t>If an emerging growth company, indicate by check mark if the registrant has elected not to use the extended transition period for complying with any new</w:t>
            </w:r>
          </w:p>
        </w:tc>
      </w:tr>
      <w:tr>
        <w:trPr>
          <w:trHeight w:val="283"/>
        </w:trPr>
        <w:tc>
          <w:tcPr>
            <w:tcW w:w="6920" w:type="dxa"/>
            <w:vAlign w:val="bottom"/>
            <w:gridSpan w:val="2"/>
          </w:tcPr>
          <w:p>
            <w:pPr>
              <w:ind w:left="900"/>
              <w:spacing w:after="0" w:line="207" w:lineRule="exact"/>
              <w:rPr>
                <w:sz w:val="20"/>
                <w:szCs w:val="20"/>
                <w:color w:val="auto"/>
              </w:rPr>
            </w:pPr>
            <w:r>
              <w:rPr>
                <w:rFonts w:ascii="Arial" w:cs="Arial" w:eastAsia="Arial" w:hAnsi="Arial"/>
                <w:sz w:val="14"/>
                <w:szCs w:val="14"/>
                <w:color w:val="auto"/>
                <w:w w:val="95"/>
              </w:rPr>
              <w:t xml:space="preserve">or revised financial accounting standards provided pursuant to Section 13(a) of the Exchange Act. </w:t>
            </w:r>
            <w:r>
              <w:rPr>
                <w:rFonts w:ascii="MS PGothic" w:cs="MS PGothic" w:eastAsia="MS PGothic" w:hAnsi="MS PGothic"/>
                <w:sz w:val="18"/>
                <w:szCs w:val="18"/>
                <w:color w:val="auto"/>
                <w:w w:val="95"/>
              </w:rPr>
              <w:t>☐</w:t>
            </w:r>
          </w:p>
        </w:tc>
        <w:tc>
          <w:tcPr>
            <w:tcW w:w="2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34"/>
        </w:trPr>
        <w:tc>
          <w:tcPr>
            <w:tcW w:w="6920" w:type="dxa"/>
            <w:vAlign w:val="bottom"/>
            <w:gridSpan w:val="2"/>
          </w:tcPr>
          <w:p>
            <w:pPr>
              <w:spacing w:after="0"/>
              <w:rPr>
                <w:sz w:val="20"/>
                <w:szCs w:val="20"/>
                <w:color w:val="auto"/>
              </w:rPr>
            </w:pPr>
            <w:r>
              <w:rPr>
                <w:rFonts w:ascii="Arial" w:cs="Arial" w:eastAsia="Arial" w:hAnsi="Arial"/>
                <w:sz w:val="14"/>
                <w:szCs w:val="14"/>
                <w:color w:val="auto"/>
                <w:w w:val="94"/>
              </w:rPr>
              <w:t>Indicate by check mark whether the registrant is a shell company (as defined in Rule 12b-2 of the Exchange Act).  Yes</w:t>
            </w:r>
          </w:p>
        </w:tc>
        <w:tc>
          <w:tcPr>
            <w:tcW w:w="214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tc>
        <w:tc>
          <w:tcPr>
            <w:tcW w:w="680" w:type="dxa"/>
            <w:vAlign w:val="bottom"/>
          </w:tcPr>
          <w:p>
            <w:pPr>
              <w:spacing w:after="0"/>
              <w:rPr>
                <w:sz w:val="24"/>
                <w:szCs w:val="24"/>
                <w:color w:val="auto"/>
              </w:rPr>
            </w:pPr>
          </w:p>
        </w:tc>
      </w:tr>
    </w:tbl>
    <w:p>
      <w:pPr>
        <w:spacing w:after="0" w:line="19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June 30, 2019, the only member of the registrant is a wholly-owned indirect subsidiary of Crown Castle International Corp.</w:t>
      </w:r>
    </w:p>
    <w:p>
      <w:pPr>
        <w:spacing w:after="0" w:line="109" w:lineRule="exact"/>
        <w:rPr>
          <w:sz w:val="24"/>
          <w:szCs w:val="24"/>
          <w:color w:val="auto"/>
        </w:rPr>
      </w:pPr>
    </w:p>
    <w:p>
      <w:pPr>
        <w:ind w:right="20" w:firstLine="324"/>
        <w:spacing w:after="0" w:line="273" w:lineRule="auto"/>
        <w:rPr>
          <w:sz w:val="20"/>
          <w:szCs w:val="20"/>
          <w:color w:val="auto"/>
        </w:rPr>
      </w:pPr>
      <w:r>
        <w:rPr>
          <w:rFonts w:ascii="Arial" w:cs="Arial" w:eastAsia="Arial" w:hAnsi="Arial"/>
          <w:sz w:val="14"/>
          <w:szCs w:val="14"/>
          <w:color w:val="auto"/>
        </w:rPr>
        <w:t>The registrant is a wholly-owned indirect subsidiary of Crown Castle International Corp. and meets the conditions set forth in General Instruction (H)(1)(a) and (b) of Form 10-Q, and is therefore filing this form with the reduced disclosure format.</w:t>
      </w:r>
    </w:p>
    <w:p>
      <w:pPr>
        <w:sectPr>
          <w:pgSz w:w="11900" w:h="16838" w:orient="portrait"/>
          <w:cols w:equalWidth="0" w:num="1">
            <w:col w:w="11440"/>
          </w:cols>
          <w:pgMar w:left="240" w:top="1188" w:right="21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00" w:type="dxa"/>
            <w:vAlign w:val="bottom"/>
            <w:gridSpan w:val="7"/>
          </w:tcPr>
          <w:p>
            <w:pPr>
              <w:jc w:val="center"/>
              <w:ind w:right="3200"/>
              <w:spacing w:after="0"/>
              <w:rPr>
                <w:sz w:val="20"/>
                <w:szCs w:val="20"/>
                <w:color w:val="auto"/>
              </w:rPr>
            </w:pPr>
            <w:r>
              <w:rPr>
                <w:rFonts w:ascii="Arial" w:cs="Arial" w:eastAsia="Arial" w:hAnsi="Arial"/>
                <w:sz w:val="18"/>
                <w:szCs w:val="18"/>
                <w:b w:val="1"/>
                <w:bCs w:val="1"/>
                <w:color w:val="auto"/>
                <w:w w:val="99"/>
              </w:rPr>
              <w:t>CC HOLDINGS GS V LLC</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00" w:type="dxa"/>
            <w:vAlign w:val="bottom"/>
            <w:gridSpan w:val="7"/>
          </w:tcPr>
          <w:p>
            <w:pPr>
              <w:jc w:val="center"/>
              <w:ind w:right="320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230"/>
        </w:trPr>
        <w:tc>
          <w:tcPr>
            <w:tcW w:w="29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8"/>
              </w:rPr>
              <w:t>PART I—FINANCIAL INFORMATION</w:t>
            </w:r>
          </w:p>
        </w:tc>
        <w:tc>
          <w:tcPr>
            <w:tcW w:w="7240" w:type="dxa"/>
            <w:vAlign w:val="bottom"/>
            <w:gridSpan w:val="10"/>
          </w:tcPr>
          <w:p>
            <w:pPr>
              <w:spacing w:after="0"/>
              <w:rPr>
                <w:sz w:val="19"/>
                <w:szCs w:val="19"/>
                <w:color w:val="auto"/>
              </w:rPr>
            </w:pPr>
          </w:p>
        </w:tc>
        <w:tc>
          <w:tcPr>
            <w:tcW w:w="104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11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5"/>
              </w:rPr>
              <w:t>CONDENSED CONSOLIDATED BALANCE SHEET</w:t>
            </w:r>
          </w:p>
        </w:tc>
        <w:tc>
          <w:tcPr>
            <w:tcW w:w="4500" w:type="dxa"/>
            <w:vAlign w:val="bottom"/>
            <w:gridSpan w:val="6"/>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3"/>
              </w:rPr>
              <w:t>CONDENSED CONSOLIDATED STATEMENT OF OPERATIONS (Unaudited)</w:t>
            </w:r>
          </w:p>
        </w:tc>
        <w:tc>
          <w:tcPr>
            <w:tcW w:w="2580" w:type="dxa"/>
            <w:vAlign w:val="bottom"/>
            <w:gridSpan w:val="5"/>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5"/>
          </w:tcPr>
          <w:p>
            <w:pPr>
              <w:spacing w:after="0"/>
              <w:rPr>
                <w:sz w:val="20"/>
                <w:szCs w:val="20"/>
                <w:color w:val="auto"/>
              </w:rPr>
            </w:pPr>
            <w:r>
              <w:rPr>
                <w:rFonts w:ascii="Arial" w:cs="Arial" w:eastAsia="Arial" w:hAnsi="Arial"/>
                <w:sz w:val="18"/>
                <w:szCs w:val="18"/>
                <w:color w:val="auto"/>
              </w:rPr>
              <w:t>CONDENSED CONSOLIDATED STATEMENT OF CASH FLOWS (Unaudited)</w:t>
            </w:r>
          </w:p>
        </w:tc>
        <w:tc>
          <w:tcPr>
            <w:tcW w:w="11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340" w:type="dxa"/>
            <w:vAlign w:val="bottom"/>
            <w:gridSpan w:val="3"/>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5"/>
          </w:tcPr>
          <w:p>
            <w:pPr>
              <w:spacing w:after="0"/>
              <w:rPr>
                <w:sz w:val="20"/>
                <w:szCs w:val="20"/>
                <w:color w:val="auto"/>
              </w:rPr>
            </w:pPr>
            <w:r>
              <w:rPr>
                <w:rFonts w:ascii="Arial" w:cs="Arial" w:eastAsia="Arial" w:hAnsi="Arial"/>
                <w:sz w:val="18"/>
                <w:szCs w:val="18"/>
                <w:color w:val="auto"/>
              </w:rPr>
              <w:t>CONDENSED CONSOLIDATED STATEMENT OF CHANGES IN MEMBER'S EQUITY (Unaudited)</w:t>
            </w:r>
          </w:p>
        </w:tc>
        <w:tc>
          <w:tcPr>
            <w:tcW w:w="114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NOTES TO CONDENSED CONSOLIDATED FINANCIAL STATEMENTS—Unaudited</w:t>
            </w:r>
          </w:p>
        </w:tc>
        <w:tc>
          <w:tcPr>
            <w:tcW w:w="940" w:type="dxa"/>
            <w:vAlign w:val="bottom"/>
            <w:gridSpan w:val="2"/>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920" w:type="dxa"/>
            <w:vAlign w:val="bottom"/>
            <w:gridSpan w:val="4"/>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74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97"/>
              </w:rPr>
              <w:t>MANAGEMENT'S DISCUSSION AND ANALYSIS OF FINANCIAL CONDITION AND RESULTS OF</w:t>
            </w: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3"/>
          </w:tcPr>
          <w:p>
            <w:pPr>
              <w:spacing w:after="0" w:line="196" w:lineRule="exact"/>
              <w:rPr>
                <w:sz w:val="20"/>
                <w:szCs w:val="20"/>
                <w:color w:val="auto"/>
              </w:rPr>
            </w:pPr>
            <w:r>
              <w:rPr>
                <w:rFonts w:ascii="Arial" w:cs="Arial" w:eastAsia="Arial" w:hAnsi="Arial"/>
                <w:sz w:val="18"/>
                <w:szCs w:val="18"/>
                <w:color w:val="auto"/>
                <w:w w:val="91"/>
              </w:rPr>
              <w:t>OPERATIONS</w:t>
            </w:r>
          </w:p>
        </w:tc>
        <w:tc>
          <w:tcPr>
            <w:tcW w:w="7400" w:type="dxa"/>
            <w:vAlign w:val="bottom"/>
            <w:gridSpan w:val="12"/>
          </w:tcPr>
          <w:p>
            <w:pPr>
              <w:spacing w:after="0"/>
              <w:rPr>
                <w:sz w:val="17"/>
                <w:szCs w:val="17"/>
                <w:color w:val="auto"/>
              </w:rPr>
            </w:pPr>
          </w:p>
        </w:tc>
        <w:tc>
          <w:tcPr>
            <w:tcW w:w="1140" w:type="dxa"/>
            <w:vAlign w:val="bottom"/>
            <w:gridSpan w:val="3"/>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13</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600" w:type="dxa"/>
            <w:vAlign w:val="bottom"/>
            <w:gridSpan w:val="8"/>
          </w:tcPr>
          <w:p>
            <w:pPr>
              <w:spacing w:after="0"/>
              <w:rPr>
                <w:sz w:val="20"/>
                <w:szCs w:val="20"/>
                <w:color w:val="auto"/>
              </w:rPr>
            </w:pPr>
            <w:r>
              <w:rPr>
                <w:rFonts w:ascii="Arial" w:cs="Arial" w:eastAsia="Arial" w:hAnsi="Arial"/>
                <w:sz w:val="18"/>
                <w:szCs w:val="18"/>
                <w:color w:val="auto"/>
                <w:w w:val="93"/>
              </w:rPr>
              <w:t>CONTROLS AND PROCEDURES</w:t>
            </w:r>
          </w:p>
        </w:tc>
        <w:tc>
          <w:tcPr>
            <w:tcW w:w="5900" w:type="dxa"/>
            <w:vAlign w:val="bottom"/>
            <w:gridSpan w:val="7"/>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5"/>
          </w:tcPr>
          <w:p>
            <w:pPr>
              <w:spacing w:after="0"/>
              <w:rPr>
                <w:sz w:val="20"/>
                <w:szCs w:val="20"/>
                <w:color w:val="auto"/>
              </w:rPr>
            </w:pPr>
            <w:r>
              <w:rPr>
                <w:rFonts w:ascii="Arial" w:cs="Arial" w:eastAsia="Arial" w:hAnsi="Arial"/>
                <w:sz w:val="18"/>
                <w:szCs w:val="18"/>
                <w:color w:val="auto"/>
                <w:w w:val="95"/>
              </w:rPr>
              <w:t>PART II—OTHER INFORMATION</w:t>
            </w:r>
          </w:p>
        </w:tc>
        <w:tc>
          <w:tcPr>
            <w:tcW w:w="7560" w:type="dxa"/>
            <w:vAlign w:val="bottom"/>
            <w:gridSpan w:val="13"/>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15"/>
          </w:tcPr>
          <w:p>
            <w:pPr>
              <w:spacing w:after="0"/>
              <w:rPr>
                <w:sz w:val="20"/>
                <w:szCs w:val="20"/>
                <w:color w:val="auto"/>
              </w:rPr>
            </w:pPr>
            <w:r>
              <w:rPr>
                <w:rFonts w:ascii="Arial" w:cs="Arial" w:eastAsia="Arial" w:hAnsi="Arial"/>
                <w:sz w:val="18"/>
                <w:szCs w:val="18"/>
                <w:color w:val="auto"/>
              </w:rPr>
              <w:t>LEGAL PROCEEDINGS</w:t>
            </w:r>
          </w:p>
        </w:tc>
        <w:tc>
          <w:tcPr>
            <w:tcW w:w="114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240" w:type="dxa"/>
            <w:vAlign w:val="bottom"/>
            <w:gridSpan w:val="4"/>
          </w:tcPr>
          <w:p>
            <w:pPr>
              <w:spacing w:after="0"/>
              <w:rPr>
                <w:sz w:val="20"/>
                <w:szCs w:val="20"/>
                <w:color w:val="auto"/>
              </w:rPr>
            </w:pPr>
            <w:r>
              <w:rPr>
                <w:rFonts w:ascii="Arial" w:cs="Arial" w:eastAsia="Arial" w:hAnsi="Arial"/>
                <w:sz w:val="18"/>
                <w:szCs w:val="18"/>
                <w:color w:val="auto"/>
                <w:w w:val="91"/>
              </w:rPr>
              <w:t>RISK FACTORS</w:t>
            </w:r>
          </w:p>
        </w:tc>
        <w:tc>
          <w:tcPr>
            <w:tcW w:w="620" w:type="dxa"/>
            <w:vAlign w:val="bottom"/>
            <w:gridSpan w:val="2"/>
          </w:tcPr>
          <w:p>
            <w:pPr>
              <w:spacing w:after="0"/>
              <w:rPr>
                <w:sz w:val="21"/>
                <w:szCs w:val="21"/>
                <w:color w:val="auto"/>
              </w:rPr>
            </w:pPr>
          </w:p>
        </w:tc>
        <w:tc>
          <w:tcPr>
            <w:tcW w:w="6640" w:type="dxa"/>
            <w:vAlign w:val="bottom"/>
            <w:gridSpan w:val="9"/>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7260" w:type="dxa"/>
            <w:vAlign w:val="bottom"/>
            <w:gridSpan w:val="1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20" w:type="dxa"/>
            <w:vAlign w:val="bottom"/>
          </w:tcPr>
          <w:p>
            <w:pPr>
              <w:spacing w:after="0"/>
              <w:rPr>
                <w:sz w:val="20"/>
                <w:szCs w:val="20"/>
                <w:color w:val="auto"/>
              </w:rPr>
            </w:pPr>
            <w:r>
              <w:rPr>
                <w:rFonts w:ascii="Arial" w:cs="Arial" w:eastAsia="Arial" w:hAnsi="Arial"/>
                <w:sz w:val="18"/>
                <w:szCs w:val="18"/>
                <w:color w:val="auto"/>
                <w:w w:val="97"/>
              </w:rPr>
              <w:t>EXHIBITS</w:t>
            </w:r>
          </w:p>
        </w:tc>
        <w:tc>
          <w:tcPr>
            <w:tcW w:w="420" w:type="dxa"/>
            <w:vAlign w:val="bottom"/>
            <w:gridSpan w:val="3"/>
          </w:tcPr>
          <w:p>
            <w:pPr>
              <w:spacing w:after="0"/>
              <w:rPr>
                <w:sz w:val="21"/>
                <w:szCs w:val="21"/>
                <w:color w:val="auto"/>
              </w:rPr>
            </w:pPr>
          </w:p>
        </w:tc>
        <w:tc>
          <w:tcPr>
            <w:tcW w:w="7260" w:type="dxa"/>
            <w:vAlign w:val="bottom"/>
            <w:gridSpan w:val="11"/>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2"/>
          </w:tcPr>
          <w:p>
            <w:pPr>
              <w:spacing w:after="0"/>
              <w:rPr>
                <w:sz w:val="20"/>
                <w:szCs w:val="20"/>
                <w:color w:val="auto"/>
              </w:rPr>
            </w:pPr>
            <w:r>
              <w:rPr>
                <w:rFonts w:ascii="Arial" w:cs="Arial" w:eastAsia="Arial" w:hAnsi="Arial"/>
                <w:sz w:val="18"/>
                <w:szCs w:val="18"/>
                <w:color w:val="auto"/>
                <w:w w:val="99"/>
              </w:rPr>
              <w:t>EXHIBIT INDEX</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w w:val="92"/>
              </w:rPr>
              <w:t>SIGNATURES</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17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 xml:space="preserve">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and any variation of these words, and similar expressions are intended to identify forward-looking statements. Such statements include plans, projections and estimates contained in </w:t>
      </w:r>
      <w:r>
        <w:rPr>
          <w:rFonts w:ascii="Arial" w:cs="Arial" w:eastAsia="Arial" w:hAnsi="Arial"/>
          <w:sz w:val="16"/>
          <w:szCs w:val="16"/>
          <w:i w:val="1"/>
          <w:iCs w:val="1"/>
          <w:color w:val="auto"/>
        </w:rPr>
        <w:t>"Part I—Item 2. Management's Discussion and Analysis of Financial Condition and Results of Operations"</w:t>
      </w:r>
      <w:r>
        <w:rPr>
          <w:rFonts w:ascii="Arial" w:cs="Arial" w:eastAsia="Arial" w:hAnsi="Arial"/>
          <w:sz w:val="16"/>
          <w:szCs w:val="16"/>
          <w:color w:val="auto"/>
        </w:rPr>
        <w:t xml:space="preserve"> ("MD&amp;A") herein. Such forward-looking statements include (1) expectations regarding anticipated growth in the wireless industry, and demand for wireless data, (2) expectations regarding wireless carriers' focus on improving network quality and expanding capacity, (3) expectations regarding tenant leasing and non-renewals of tenant contracts, (4) expectations regarding demand for our communications infrastructure, including factors driving such demand, and the potential benefits that may be derived therefrom, (5) expectations regarding cash flows and liquidity for, or plans regarding, capital expenditures,</w:t>
      </w:r>
    </w:p>
    <w:p>
      <w:pPr>
        <w:spacing w:after="0" w:line="7" w:lineRule="exact"/>
        <w:rPr>
          <w:sz w:val="20"/>
          <w:szCs w:val="20"/>
          <w:color w:val="auto"/>
        </w:rPr>
      </w:pPr>
    </w:p>
    <w:p>
      <w:pPr>
        <w:jc w:val="both"/>
        <w:ind w:firstLine="8"/>
        <w:spacing w:after="0" w:line="253" w:lineRule="auto"/>
        <w:tabs>
          <w:tab w:leader="none" w:pos="277"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expectations regarding our capital structure, debt maturities, our availability and cost of capital, and capital allocation, (7) expectations related to the ability of Crown Castle International Corp. ("CCIC" or "Crown Castle") to remain qualified as a real estate investment trust ("REIT") and the advantages, benefits or impact of, or opportunities created by the inclusion of our assets and operations in CCIC's REIT, (8) the utilization of our net operating loss carryforwards ("NOLs") and (9) expectations related to the impact of customer consolidation or ownership changes, including the impact of the potential combination of T-Mobile and Sprint.</w:t>
      </w:r>
    </w:p>
    <w:p>
      <w:pPr>
        <w:spacing w:after="0" w:line="1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in </w:t>
      </w:r>
      <w:r>
        <w:rPr>
          <w:rFonts w:ascii="Arial" w:cs="Arial" w:eastAsia="Arial" w:hAnsi="Arial"/>
          <w:sz w:val="18"/>
          <w:szCs w:val="18"/>
          <w:i w:val="1"/>
          <w:iCs w:val="1"/>
          <w:color w:val="auto"/>
        </w:rPr>
        <w:t>"Part II—Item 1A. Risk Factors"</w:t>
      </w:r>
      <w:r>
        <w:rPr>
          <w:rFonts w:ascii="Arial" w:cs="Arial" w:eastAsia="Arial" w:hAnsi="Arial"/>
          <w:sz w:val="18"/>
          <w:szCs w:val="18"/>
          <w:color w:val="auto"/>
        </w:rPr>
        <w:t xml:space="preserve"> herein and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of our Annual Report on Form 10-K for the fiscal year ended December 31, 2018 ("2018 Form 10-K") and other factors. Should one or more of these risks or uncertainties materialize, or should underlying assumptions prove incorrect, actual results may vary materially from those expected. As used herein, the term "including," and any variation thereof, means "including without limitation." The use of the word "or" herein is not exclusive.</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filings with the SEC are available through the SEC website at www.sec.gov or through CCIC’s investor relations website at investor.crowncastle.com. CCIC uses its investor relations website to disclose information about CCIC and us that may be deemed to be material. We encourage investors, the media and others interested in us to visit CCIC’s investor relations website from time to time to review up-to-date information or to sign up for e-mail alerts to be notified when new or updated information is posted on the site.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PART I—FINANCIAL INFORMATION</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40" w:type="dxa"/>
            <w:vAlign w:val="bottom"/>
          </w:tcPr>
          <w:p>
            <w:pPr>
              <w:jc w:val="center"/>
              <w:ind w:left="1273"/>
              <w:spacing w:after="0"/>
              <w:rPr>
                <w:sz w:val="20"/>
                <w:szCs w:val="20"/>
                <w:color w:val="auto"/>
              </w:rPr>
            </w:pPr>
            <w:r>
              <w:rPr>
                <w:rFonts w:ascii="Arial" w:cs="Arial" w:eastAsia="Arial" w:hAnsi="Arial"/>
                <w:sz w:val="18"/>
                <w:szCs w:val="18"/>
                <w:b w:val="1"/>
                <w:bCs w:val="1"/>
                <w:color w:val="auto"/>
                <w:w w:val="99"/>
              </w:rPr>
              <w:t>CC HOLDINGS GS V LLC</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540" w:type="dxa"/>
            <w:vAlign w:val="bottom"/>
          </w:tcPr>
          <w:p>
            <w:pPr>
              <w:jc w:val="center"/>
              <w:ind w:left="1293"/>
              <w:spacing w:after="0"/>
              <w:rPr>
                <w:sz w:val="20"/>
                <w:szCs w:val="20"/>
                <w:color w:val="auto"/>
              </w:rPr>
            </w:pPr>
            <w:r>
              <w:rPr>
                <w:rFonts w:ascii="Arial" w:cs="Arial" w:eastAsia="Arial" w:hAnsi="Arial"/>
                <w:sz w:val="18"/>
                <w:szCs w:val="18"/>
                <w:b w:val="1"/>
                <w:bCs w:val="1"/>
                <w:color w:val="auto"/>
                <w:w w:val="97"/>
              </w:rPr>
              <w:t>CONDENSED CONSOLIDATED BALANCE SHEET (Unaudited)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540" w:type="dxa"/>
            <w:vAlign w:val="bottom"/>
          </w:tcPr>
          <w:p>
            <w:pPr>
              <w:jc w:val="center"/>
              <w:ind w:left="1293"/>
              <w:spacing w:after="0"/>
              <w:rPr>
                <w:sz w:val="20"/>
                <w:szCs w:val="20"/>
                <w:color w:val="auto"/>
              </w:rPr>
            </w:pPr>
            <w:r>
              <w:rPr>
                <w:rFonts w:ascii="Arial" w:cs="Arial" w:eastAsia="Arial" w:hAnsi="Arial"/>
                <w:sz w:val="18"/>
                <w:szCs w:val="18"/>
                <w:b w:val="1"/>
                <w:bCs w:val="1"/>
                <w:color w:val="auto"/>
                <w:w w:val="89"/>
              </w:rPr>
              <w:t>(In thousands of dollars)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75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7540" w:type="dxa"/>
            <w:vAlign w:val="bottom"/>
            <w:tcBorders>
              <w:bottom w:val="single" w:sz="8" w:color="CCEEFF"/>
            </w:tcBorders>
            <w:shd w:val="clear" w:color="auto" w:fill="CCEEFF"/>
          </w:tcPr>
          <w:p>
            <w:pPr>
              <w:jc w:val="center"/>
              <w:ind w:right="1153"/>
              <w:spacing w:after="0"/>
              <w:rPr>
                <w:sz w:val="20"/>
                <w:szCs w:val="20"/>
                <w:color w:val="auto"/>
              </w:rPr>
            </w:pPr>
            <w:r>
              <w:rPr>
                <w:rFonts w:ascii="Arial" w:cs="Arial" w:eastAsia="Arial" w:hAnsi="Arial"/>
                <w:sz w:val="16"/>
                <w:szCs w:val="16"/>
                <w:b w:val="1"/>
                <w:bCs w:val="1"/>
                <w:color w:val="auto"/>
                <w:w w:val="96"/>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7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Arial" w:cs="Arial" w:eastAsia="Arial" w:hAnsi="Arial"/>
                <w:sz w:val="16"/>
                <w:szCs w:val="16"/>
                <w:color w:val="auto"/>
              </w:rPr>
              <w:t>Receivables, net</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1,730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4,327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w:t>
            </w:r>
            <w:r>
              <w:rPr>
                <w:rFonts w:ascii="Arial" w:cs="Arial" w:eastAsia="Arial" w:hAnsi="Arial"/>
                <w:sz w:val="21"/>
                <w:szCs w:val="21"/>
                <w:color w:val="auto"/>
                <w:vertAlign w:val="superscript"/>
              </w:rPr>
              <w:t>(a)</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18,186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Arial" w:cs="Arial" w:eastAsia="Arial" w:hAnsi="Arial"/>
                <w:sz w:val="16"/>
                <w:szCs w:val="16"/>
                <w:color w:val="auto"/>
              </w:rPr>
              <w:t>Deferred site rental receivables and other current assets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29,793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27,014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7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67,388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gridSpan w:val="2"/>
          </w:tcPr>
          <w:p>
            <w:pPr>
              <w:spacing w:after="0"/>
              <w:rPr>
                <w:sz w:val="20"/>
                <w:szCs w:val="20"/>
                <w:color w:val="auto"/>
              </w:rPr>
            </w:pPr>
            <w:r>
              <w:rPr>
                <w:rFonts w:ascii="Arial" w:cs="Arial" w:eastAsia="Arial" w:hAnsi="Arial"/>
                <w:sz w:val="16"/>
                <w:szCs w:val="16"/>
                <w:color w:val="auto"/>
              </w:rPr>
              <w:t>Deferred site rental receivables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348,047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343,740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$1,057,602 and $1,011,900,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1,016,024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1,017,767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tcPr>
          <w:p>
            <w:pPr>
              <w:ind w:left="20"/>
              <w:spacing w:after="0"/>
              <w:rPr>
                <w:sz w:val="20"/>
                <w:szCs w:val="20"/>
                <w:color w:val="auto"/>
              </w:rPr>
            </w:pPr>
            <w:r>
              <w:rPr>
                <w:rFonts w:ascii="Arial" w:cs="Arial" w:eastAsia="Arial" w:hAnsi="Arial"/>
                <w:sz w:val="16"/>
                <w:szCs w:val="16"/>
                <w:color w:val="auto"/>
              </w:rPr>
              <w:t>Operating lease right-of-use assets</w:t>
            </w:r>
            <w:r>
              <w:rPr>
                <w:rFonts w:ascii="Arial" w:cs="Arial" w:eastAsia="Arial" w:hAnsi="Arial"/>
                <w:sz w:val="21"/>
                <w:szCs w:val="21"/>
                <w:color w:val="auto"/>
                <w:vertAlign w:val="superscript"/>
              </w:rPr>
              <w:t>(a)</w:t>
            </w:r>
          </w:p>
        </w:tc>
        <w:tc>
          <w:tcPr>
            <w:tcW w:w="2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1,104,505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7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1,338,730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1,338,730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tcPr>
          <w:p>
            <w:pPr>
              <w:ind w:left="20"/>
              <w:spacing w:after="0"/>
              <w:rPr>
                <w:sz w:val="20"/>
                <w:szCs w:val="20"/>
                <w:color w:val="auto"/>
              </w:rPr>
            </w:pPr>
            <w:r>
              <w:rPr>
                <w:rFonts w:ascii="Arial" w:cs="Arial" w:eastAsia="Arial" w:hAnsi="Arial"/>
                <w:sz w:val="16"/>
                <w:szCs w:val="16"/>
                <w:color w:val="auto"/>
              </w:rPr>
              <w:t>Other intangible assets, net</w:t>
            </w:r>
            <w:r>
              <w:rPr>
                <w:rFonts w:ascii="Arial" w:cs="Arial" w:eastAsia="Arial" w:hAnsi="Arial"/>
                <w:sz w:val="21"/>
                <w:szCs w:val="21"/>
                <w:color w:val="auto"/>
                <w:vertAlign w:val="superscript"/>
              </w:rPr>
              <w:t>(a)</w:t>
            </w:r>
          </w:p>
        </w:tc>
        <w:tc>
          <w:tcPr>
            <w:tcW w:w="2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735,797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808,327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prepaid rent and other assets, net</w:t>
            </w:r>
            <w:r>
              <w:rPr>
                <w:rFonts w:ascii="Arial" w:cs="Arial" w:eastAsia="Arial" w:hAnsi="Arial"/>
                <w:sz w:val="21"/>
                <w:szCs w:val="21"/>
                <w:color w:val="auto"/>
                <w:vertAlign w:val="superscript"/>
              </w:rPr>
              <w:t>(a)</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1,930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39,669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78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4,612,421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3,621,436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540" w:type="dxa"/>
            <w:vAlign w:val="bottom"/>
          </w:tcPr>
          <w:p>
            <w:pPr>
              <w:jc w:val="center"/>
              <w:ind w:right="1153"/>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Current liabilities:</w:t>
            </w:r>
          </w:p>
        </w:tc>
        <w:tc>
          <w:tcPr>
            <w:tcW w:w="7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6,404</w:t>
            </w:r>
          </w:p>
        </w:tc>
        <w:tc>
          <w:tcPr>
            <w:tcW w:w="1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1,933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Accrued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Arial" w:cs="Arial" w:eastAsia="Arial" w:hAnsi="Arial"/>
                <w:sz w:val="16"/>
                <w:szCs w:val="16"/>
                <w:color w:val="auto"/>
              </w:rPr>
              <w:t>Deferred revenues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12,347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12,533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 accrued liabilities</w:t>
            </w:r>
            <w:r>
              <w:rPr>
                <w:rFonts w:ascii="Arial" w:cs="Arial" w:eastAsia="Arial" w:hAnsi="Arial"/>
                <w:sz w:val="21"/>
                <w:szCs w:val="21"/>
                <w:color w:val="auto"/>
                <w:vertAlign w:val="superscript"/>
              </w:rPr>
              <w:t>(a)</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7,722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8,866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tcPr>
          <w:p>
            <w:pPr>
              <w:ind w:left="280"/>
              <w:spacing w:after="0"/>
              <w:rPr>
                <w:sz w:val="20"/>
                <w:szCs w:val="20"/>
                <w:color w:val="auto"/>
              </w:rPr>
            </w:pPr>
            <w:r>
              <w:rPr>
                <w:rFonts w:ascii="Arial" w:cs="Arial" w:eastAsia="Arial" w:hAnsi="Arial"/>
                <w:sz w:val="16"/>
                <w:szCs w:val="16"/>
                <w:color w:val="auto"/>
              </w:rPr>
              <w:t>Current portion of operating lease liabilities—third parties</w:t>
            </w:r>
            <w:r>
              <w:rPr>
                <w:rFonts w:ascii="Arial" w:cs="Arial" w:eastAsia="Arial" w:hAnsi="Arial"/>
                <w:sz w:val="21"/>
                <w:szCs w:val="21"/>
                <w:color w:val="auto"/>
                <w:vertAlign w:val="superscript"/>
              </w:rPr>
              <w:t>(a)</w:t>
            </w:r>
          </w:p>
        </w:tc>
        <w:tc>
          <w:tcPr>
            <w:tcW w:w="2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35,512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Current portion of operating lease liabilities—related parties</w:t>
            </w:r>
            <w:r>
              <w:rPr>
                <w:rFonts w:ascii="Arial" w:cs="Arial" w:eastAsia="Arial" w:hAnsi="Arial"/>
                <w:sz w:val="21"/>
                <w:szCs w:val="21"/>
                <w:color w:val="auto"/>
                <w:vertAlign w:val="superscript"/>
              </w:rPr>
              <w:t>(a)</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16,137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gridSpan w:val="2"/>
          </w:tcPr>
          <w:p>
            <w:pPr>
              <w:ind w:left="60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86,248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31,458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Debt</w:t>
            </w:r>
          </w:p>
        </w:tc>
        <w:tc>
          <w:tcPr>
            <w:tcW w:w="7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994,739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994,047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tcPr>
          <w:p>
            <w:pPr>
              <w:ind w:left="20"/>
              <w:spacing w:after="0"/>
              <w:rPr>
                <w:sz w:val="20"/>
                <w:szCs w:val="20"/>
                <w:color w:val="auto"/>
              </w:rPr>
            </w:pPr>
            <w:r>
              <w:rPr>
                <w:rFonts w:ascii="Arial" w:cs="Arial" w:eastAsia="Arial" w:hAnsi="Arial"/>
                <w:sz w:val="16"/>
                <w:szCs w:val="16"/>
                <w:color w:val="auto"/>
              </w:rPr>
              <w:t>Operating lease liabilities—third parties</w:t>
            </w:r>
            <w:r>
              <w:rPr>
                <w:rFonts w:ascii="Arial" w:cs="Arial" w:eastAsia="Arial" w:hAnsi="Arial"/>
                <w:sz w:val="21"/>
                <w:szCs w:val="21"/>
                <w:color w:val="auto"/>
                <w:vertAlign w:val="superscript"/>
              </w:rPr>
              <w:t>(a)</w:t>
            </w:r>
          </w:p>
        </w:tc>
        <w:tc>
          <w:tcPr>
            <w:tcW w:w="2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804,386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liabilities—related parties</w:t>
            </w:r>
            <w:r>
              <w:rPr>
                <w:rFonts w:ascii="Arial" w:cs="Arial" w:eastAsia="Arial" w:hAnsi="Arial"/>
                <w:sz w:val="21"/>
                <w:szCs w:val="21"/>
                <w:color w:val="auto"/>
                <w:vertAlign w:val="superscript"/>
              </w:rPr>
              <w:t>(a)</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314,291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gridSpan w:val="2"/>
          </w:tcPr>
          <w:p>
            <w:pPr>
              <w:ind w:left="20"/>
              <w:spacing w:after="0"/>
              <w:rPr>
                <w:sz w:val="20"/>
                <w:szCs w:val="20"/>
                <w:color w:val="auto"/>
              </w:rPr>
            </w:pPr>
            <w:r>
              <w:rPr>
                <w:rFonts w:ascii="Arial" w:cs="Arial" w:eastAsia="Arial" w:hAnsi="Arial"/>
                <w:sz w:val="16"/>
                <w:szCs w:val="16"/>
                <w:color w:val="auto"/>
              </w:rPr>
              <w:t>Deferred ground lease payable</w:t>
            </w:r>
            <w:r>
              <w:rPr>
                <w:rFonts w:ascii="Arial" w:cs="Arial" w:eastAsia="Arial" w:hAnsi="Arial"/>
                <w:sz w:val="21"/>
                <w:szCs w:val="21"/>
                <w:color w:val="auto"/>
                <w:vertAlign w:val="superscript"/>
              </w:rPr>
              <w:t>(a)</w:t>
            </w:r>
          </w:p>
        </w:tc>
        <w:tc>
          <w:tcPr>
            <w:tcW w:w="2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112,832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Other liabilities</w:t>
            </w:r>
            <w:r>
              <w:rPr>
                <w:rFonts w:ascii="Arial" w:cs="Arial" w:eastAsia="Arial" w:hAnsi="Arial"/>
                <w:sz w:val="21"/>
                <w:szCs w:val="21"/>
                <w:color w:val="auto"/>
                <w:w w:val="98"/>
                <w:vertAlign w:val="superscript"/>
              </w:rPr>
              <w:t>(a)</w:t>
            </w:r>
          </w:p>
        </w:tc>
        <w:tc>
          <w:tcPr>
            <w:tcW w:w="75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35,001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50,108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gridSpan w:val="2"/>
          </w:tcPr>
          <w:p>
            <w:pPr>
              <w:ind w:left="60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2,234,665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1,188,445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7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Commitments and contingencies (note 7)</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Arial" w:cs="Arial" w:eastAsia="Arial" w:hAnsi="Arial"/>
                <w:sz w:val="16"/>
                <w:szCs w:val="16"/>
                <w:color w:val="auto"/>
                <w:w w:val="98"/>
              </w:rPr>
              <w:t>Member's equity:</w:t>
            </w:r>
          </w:p>
        </w:tc>
        <w:tc>
          <w:tcPr>
            <w:tcW w:w="7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Member's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2,377,756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2,432,991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Arial" w:cs="Arial" w:eastAsia="Arial" w:hAnsi="Arial"/>
                <w:sz w:val="16"/>
                <w:szCs w:val="16"/>
                <w:color w:val="auto"/>
              </w:rPr>
              <w:t>Accumulated earnings (deficit)</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7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member's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2,377,756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2,432,991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780" w:type="dxa"/>
            <w:vAlign w:val="bottom"/>
            <w:gridSpan w:val="2"/>
          </w:tcPr>
          <w:p>
            <w:pPr>
              <w:ind w:left="60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4,612,421</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3,621,436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"Recently Adopted Accounting Pronouncements"</w:t>
      </w:r>
      <w:r>
        <w:rPr>
          <w:rFonts w:ascii="Arial" w:cs="Arial" w:eastAsia="Arial" w:hAnsi="Arial"/>
          <w:sz w:val="14"/>
          <w:szCs w:val="14"/>
          <w:color w:val="auto"/>
        </w:rPr>
        <w:t xml:space="preserve"> in note 2 to the condensed consolidated financial statements for a discussion of the recently adopted lease standard.</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580"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580" w:right="25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1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r>
      <w:tr>
        <w:trPr>
          <w:trHeight w:val="236"/>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Site rental 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168,189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164,056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335,511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327,050</w:t>
            </w:r>
          </w:p>
        </w:tc>
      </w:tr>
      <w:tr>
        <w:trPr>
          <w:trHeight w:val="270"/>
        </w:trPr>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5620" w:type="dxa"/>
            <w:vAlign w:val="bottom"/>
            <w:gridSpan w:val="3"/>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38,524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38,355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75,806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75,862</w:t>
            </w:r>
          </w:p>
        </w:tc>
      </w:tr>
      <w:tr>
        <w:trPr>
          <w:trHeight w:val="270"/>
        </w:trPr>
        <w:tc>
          <w:tcPr>
            <w:tcW w:w="56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10,721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9,700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21,330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19,306</w:t>
            </w:r>
          </w:p>
        </w:tc>
      </w:tr>
      <w:tr>
        <w:trPr>
          <w:trHeight w:val="250"/>
        </w:trPr>
        <w:tc>
          <w:tcPr>
            <w:tcW w:w="5620" w:type="dxa"/>
            <w:vAlign w:val="bottom"/>
            <w:gridSpan w:val="3"/>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tc>
        <w:tc>
          <w:tcPr>
            <w:tcW w:w="32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49,245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48,055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97,136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95,168</w:t>
            </w:r>
          </w:p>
        </w:tc>
      </w:tr>
      <w:tr>
        <w:trPr>
          <w:trHeight w:val="250"/>
        </w:trPr>
        <w:tc>
          <w:tcPr>
            <w:tcW w:w="56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Management fee—related party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24,020</w:t>
            </w:r>
          </w:p>
        </w:tc>
      </w:tr>
      <w:tr>
        <w:trPr>
          <w:trHeight w:val="237"/>
        </w:trPr>
        <w:tc>
          <w:tcPr>
            <w:tcW w:w="5620" w:type="dxa"/>
            <w:vAlign w:val="bottom"/>
            <w:gridSpan w:val="3"/>
          </w:tcPr>
          <w:p>
            <w:pPr>
              <w:ind w:left="380"/>
              <w:spacing w:after="0"/>
              <w:rPr>
                <w:sz w:val="20"/>
                <w:szCs w:val="20"/>
                <w:color w:val="auto"/>
              </w:rPr>
            </w:pPr>
            <w:r>
              <w:rPr>
                <w:rFonts w:ascii="Arial" w:cs="Arial" w:eastAsia="Arial" w:hAnsi="Arial"/>
                <w:sz w:val="16"/>
                <w:szCs w:val="16"/>
                <w:color w:val="auto"/>
              </w:rPr>
              <w:t>Asset write-down charges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344</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52,409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104,771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105,432</w:t>
            </w:r>
          </w:p>
        </w:tc>
      </w:tr>
      <w:tr>
        <w:trPr>
          <w:trHeight w:val="217"/>
        </w:trPr>
        <w:tc>
          <w:tcPr>
            <w:tcW w:w="5620" w:type="dxa"/>
            <w:vAlign w:val="bottom"/>
            <w:gridSpan w:val="3"/>
          </w:tcPr>
          <w:p>
            <w:pPr>
              <w:ind w:left="7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114,342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112,817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226,909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224,964</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53,847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51,239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108,602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102,086</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(19,937)</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44,167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41,311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88,950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82,122</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44,060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41,218</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88,745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81,936</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88,745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81,936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Depreciation, amortization and accretion</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104,771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105,432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692</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Asset write-down charges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344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Increase (decrease) in accounts payable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449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(decrease) in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2,992</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Decrease (increase) in receivables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2,597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231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Decrease (increase) in 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(9,155)</w:t>
            </w:r>
          </w:p>
        </w:tc>
      </w:tr>
      <w:tr>
        <w:trPr>
          <w:trHeight w:val="217"/>
        </w:trPr>
        <w:tc>
          <w:tcPr>
            <w:tcW w:w="8580" w:type="dxa"/>
            <w:vAlign w:val="bottom"/>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184,416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182,921</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(41,464)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(32,414)</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(32,414)</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(143,980)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(159,623)</w:t>
            </w:r>
          </w:p>
        </w:tc>
      </w:tr>
      <w:tr>
        <w:trPr>
          <w:trHeight w:val="217"/>
        </w:trPr>
        <w:tc>
          <w:tcPr>
            <w:tcW w:w="8580" w:type="dxa"/>
            <w:vAlign w:val="bottom"/>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(143,980)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(159,623)</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(9,116)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18,707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30,771</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17,679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21,655</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MEMBER'S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Member's Equity</w:t>
            </w:r>
          </w:p>
        </w:tc>
        <w:tc>
          <w:tcPr>
            <w:tcW w:w="2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April 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2,386,672</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2,386,672</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(8,916)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(44,060)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(52,976)</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44,060</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44,060</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June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2,377,756</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2,377,756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Member's Equity</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April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2,519,881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2,519,881</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(21,097)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(41,218)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(62,315)</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41,218</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41,218</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June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2,498,784</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2,498,784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Member's Equity</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2,432,991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2,432,991</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(55,235)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(88,745)</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(143,980)</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88,745</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88,745</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June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2,377,756</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2,377,756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Member's Equity</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2,576,471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2,576,471</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(77,687)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(81,936)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(159,623)</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81,936</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81,936</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June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2,498,784</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2,498,784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accompanying consolidated financial statements reflect the consolidated financial position, results of operations and cash flows of CC Holdings GS V LLC ("CCL") and its consolidated wholly-owned subsidiaries (collectively, "Company"). The Company is a wholly-owned subsidiary of Global Signal Operating Partnership, L.P. ("GSOP"), which is an indirect subsidiary of Crown Castle International Corp., a Delaware corporation ("CCIC" or "Crown Castle"). CCL is a Delaware limited liability company that is a holding company and an issuer of the Company's debt. Intercompany accounts, transactions and profits have been eliminated. As used herein, the term "including," and any variation thereof means "including without limitation." The use of the word "or" herein is not exclusive.</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information contained in the following notes to the condensed consolidated financial statements is condensed from that which would appear in the annual consolidated financial statements; accordingly, the consolidated financial statements included herein should be reviewed in conjunction with the consolidated financial statements for the fiscal year ended December 31, 2018, and related notes thereto, included in the 2018 Form 10-K filed by the Company with the SEC.</w:t>
      </w:r>
    </w:p>
    <w:p>
      <w:pPr>
        <w:spacing w:after="0" w:line="13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is organized specifically to own, lease and manage towers and other structures (collectively, "towers"), and to a lesser extent, interests in land under third party and related party towers in various forms ("land interests") (collectively, "communications infrastructure" or "sites") that are geographically dispersed across the United States ("U.S."). The Company's core business is providing access, including space or capacity, to its sites via long-term contracts in various forms, including lease, license and sublease agreements (collectively, "contracts"). The Company's customers on its communications infrastructure are referred to herein as "tenants." Management services related to the Company's sites are performed by Crown Castle USA Inc. ("CCUSA"), an affiliate of the Company, under the Management Agreement, as the Company has no employees.</w:t>
      </w:r>
    </w:p>
    <w:p>
      <w:pPr>
        <w:spacing w:after="0" w:line="12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Approximately 68% of the Company's sites are leased or subleased or operated and managed for an initial period of 32 years (through May 2037) under master leases or other agreements with Sprint ("Sprint Sites"). CCIC, through its subsidiaries (including the Company) has the option to purchase in 2037 all (but not less than all) of the Sprint Sites from Sprint for approximately $2.3 billion. CCIC has no obligation to exercise the purchase option.</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 5.</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condensed consolidated financial statements included herein are unaudited; however, they include all adjustments (consisting only of normal recurring adjustments) which, in the opinion of management, are necessary to state fairly the consolidated financial position of the Company at June 30, 2019, and the consolidated results of operations and the consolidated cash flows for the six months ended June 30, 2019 and 2018. The year-end condensed consolidated balance sheet data was derived from audited financial statements, but does not include all disclosures required by generally accepted accounting principles in the U.S. ("GAAP"). The results of operations for the interim periods presented are not necessarily indicative of the results to be expected for the full year.</w:t>
      </w:r>
    </w:p>
    <w:p>
      <w:pPr>
        <w:spacing w:after="0" w:line="13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the disclosure of contingent assets and liabilities at the date of the financial statements as well as the reported amounts of revenues and expenses during the reporting period. Actual results could differ from those estimates.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33" w:lineRule="exact"/>
        <w:rPr>
          <w:sz w:val="20"/>
          <w:szCs w:val="20"/>
          <w:color w:val="auto"/>
        </w:rPr>
      </w:pPr>
    </w:p>
    <w:p>
      <w:pPr>
        <w:jc w:val="both"/>
        <w:ind w:left="420" w:right="7620" w:hanging="412"/>
        <w:spacing w:after="0" w:line="576" w:lineRule="auto"/>
        <w:tabs>
          <w:tab w:leader="none" w:pos="4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color w:val="auto"/>
        </w:rPr>
        <w:t>Recently Adopted Accounting Pronouncements</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Lease Accounting — Summary of Adoption Impact. </w:t>
      </w:r>
      <w:r>
        <w:rPr>
          <w:rFonts w:ascii="Arial" w:cs="Arial" w:eastAsia="Arial" w:hAnsi="Arial"/>
          <w:sz w:val="18"/>
          <w:szCs w:val="18"/>
          <w:color w:val="auto"/>
        </w:rPr>
        <w:t>Effective January 1, 2019, the Company adopted new guidance on the recognition,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and disclosure of leases (commonly referred to as "ASC 842" or the "new lease standard").</w:t>
      </w:r>
    </w:p>
    <w:p>
      <w:pPr>
        <w:spacing w:after="0" w:line="2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new lease standard requires lessees to recognize a lease liability, initially measured at the present value of the lease payments for all leases, and a corresponding right-of-use ("ROU") asset. The accounting for lessors remained largely unchanged from previous guidance.</w:t>
      </w:r>
    </w:p>
    <w:p>
      <w:pPr>
        <w:spacing w:after="0" w:line="11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Due to the recognition of the lease liability and a corresponding ROU asset, the new lease standard had a material impact on the Company's condensed consolidated balance sheet. Additionally, certain amounts related to our lessee arrangements that were previously reported separately have been de-recognized and reclassified into "Operating lease right-of-use assets" on the Company's condensed consolidated balance sheet. These amounts include (1) the Company's liability related to straight-line expense formerly referred to as "Deferred ground lease payable" and previously included in "Other accrued liabilities" and "Other liabilities," (2) prepaid rent expense previously included in "Prepaid expenses" and "Long-term prepaid rent and other assets, net," (3) below market leases previously included in "Other intangible assets, net," and (4) above market leases previously included in "Other liabilities."</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Notwithstanding the material impact to the Company's condensed consolidated balance sheet, the Company's adoption of the new lease standard did not have a material impact on the Company's condensed consolidated statement of operations or statement of cash flows. Additionally, the adoption of this guidance has no impact on the Company's operating practices, cash flows, contractual arrangements, or debt agreements (including compliance with any applicable covenants).</w:t>
      </w:r>
    </w:p>
    <w:p>
      <w:pPr>
        <w:spacing w:after="0" w:line="32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i w:val="1"/>
          <w:iCs w:val="1"/>
          <w:color w:val="auto"/>
        </w:rPr>
        <w:t>Lease Accounting</w:t>
      </w:r>
      <w:r>
        <w:rPr>
          <w:rFonts w:ascii="Arial" w:cs="Arial" w:eastAsia="Arial" w:hAnsi="Arial"/>
          <w:sz w:val="13"/>
          <w:szCs w:val="13"/>
          <w:color w:val="auto"/>
        </w:rPr>
        <w:t>—</w:t>
      </w:r>
      <w:r>
        <w:rPr>
          <w:rFonts w:ascii="Arial" w:cs="Arial" w:eastAsia="Arial" w:hAnsi="Arial"/>
          <w:sz w:val="17"/>
          <w:szCs w:val="17"/>
          <w:i w:val="1"/>
          <w:iCs w:val="1"/>
          <w:color w:val="auto"/>
        </w:rPr>
        <w:t xml:space="preserve">General. </w:t>
      </w:r>
      <w:r>
        <w:rPr>
          <w:rFonts w:ascii="Arial" w:cs="Arial" w:eastAsia="Arial" w:hAnsi="Arial"/>
          <w:sz w:val="17"/>
          <w:szCs w:val="17"/>
          <w:color w:val="auto"/>
        </w:rPr>
        <w:t>The Company adopted the new lease standard using a modified retrospective approach as of the effective date (i.e.,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1, 2019), without adjusting the comparative periods. The Company's adoption of the new lease standard did not result in a cumulative-effect adjustment being recognized to the opening balance of retained earnings. The new lease standard provides a package of practical expedients, whereby companies can elect not to reassess (1) whether existing contracts contain leases under the new definition of a lease, (2) lease classification for expired or existing leases and (3) whether previously capitalized initial direct costs would qualify for capitalization under ASC 842. The Company elected the package of practical expedients upon adoption and elected not to reassess whether the existing contracts contain leases under the new definition of a lease and the classification or lease term of leases that existed prior to January 1, 2019.</w:t>
      </w:r>
    </w:p>
    <w:p>
      <w:pPr>
        <w:spacing w:after="0" w:line="29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evaluates whether a contract meets the definition of a lease whenever a contract grants a party with the right to control the use of an identified asset for a period of time in exchange for consideration. To the extent the identified asset is able to be shared among multiple parties, the Company has determined that one party does not have control of the identified asset and the contract is not considered a lease.</w:t>
      </w:r>
    </w:p>
    <w:p>
      <w:pPr>
        <w:spacing w:after="0" w:line="11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i w:val="1"/>
          <w:iCs w:val="1"/>
          <w:color w:val="auto"/>
        </w:rPr>
        <w:t>Lease Accounting</w:t>
      </w:r>
      <w:r>
        <w:rPr>
          <w:rFonts w:ascii="Arial" w:cs="Arial" w:eastAsia="Arial" w:hAnsi="Arial"/>
          <w:sz w:val="14"/>
          <w:szCs w:val="14"/>
          <w:color w:val="auto"/>
        </w:rPr>
        <w:t>—</w:t>
      </w:r>
      <w:r>
        <w:rPr>
          <w:rFonts w:ascii="Arial" w:cs="Arial" w:eastAsia="Arial" w:hAnsi="Arial"/>
          <w:sz w:val="18"/>
          <w:szCs w:val="18"/>
          <w:i w:val="1"/>
          <w:iCs w:val="1"/>
          <w:color w:val="auto"/>
        </w:rPr>
        <w:t xml:space="preserve">Lessee. </w:t>
      </w:r>
      <w:r>
        <w:rPr>
          <w:rFonts w:ascii="Arial" w:cs="Arial" w:eastAsia="Arial" w:hAnsi="Arial"/>
          <w:sz w:val="18"/>
          <w:szCs w:val="18"/>
          <w:color w:val="auto"/>
        </w:rPr>
        <w:t>The Company's lessee arrangements primarily consist of ground leases for land under towers. Ground leases for land are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to each site, generally contain an initial term of five to 10 years and are renewable (and cancelable after a notice period) at the Company's option. The Company also enters into term easements and ground leases in which it prepays the entire term.</w:t>
      </w:r>
    </w:p>
    <w:p>
      <w:pPr>
        <w:spacing w:after="0" w:line="12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majority of the Company's lease agreements have certain termination rights that provide for cancellation after a notice period and multiple renewal options at the Company's option. The Company includes renewal option periods in its calculation of the estimated lease term when it determines that the options are reasonably certain to be exercised. When such renewal options are deemed to be reasonably certain, the estimated lease term determined under ASC 842 will be greater than the non-cancelable term of the contractual arrangement. Although certain renewal periods are included in the estimated lease term, the Company would have the ability to terminate or elect to not renew a particular lease if business conditions warrant such a decision.</w:t>
      </w:r>
    </w:p>
    <w:p>
      <w:pPr>
        <w:spacing w:after="0" w:line="10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classifies its lessee arrangements at inception as either operating leases or finance leases. A lease is classified as a finance lease if at least one of the following criteria is met: (1) the lease transfers ownership of the underlying asset to the lessee, (2) the lease grants the lessee an option to purchase the underlying asset that the lessee is reasonably certain to exercise, (3) the lease term is for a major part of the remaining economic life of the underlying asset, (4) the present value of the sum of the lease payments equals or exceeds substantially all of the fair value of the underlying asset, or (5) the underlying asset is of such a specialized nature that it is expected to have no alternative use to the lessor at the end of the lease term. A lease is classified as an operating lease if none of the five criteria described above for finance lease classification is met.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ROU assets associated with operating leases are included in "Operating lease right-of-use assets" on the Company's condensed consolidated balance sheet. Current and long-term portions of lease liabilities related to operating leases are included in "Current portion of operating lease liabilities</w:t>
      </w:r>
      <w:r>
        <w:rPr>
          <w:rFonts w:ascii="Arial" w:cs="Arial" w:eastAsia="Arial" w:hAnsi="Arial"/>
          <w:sz w:val="13"/>
          <w:szCs w:val="13"/>
          <w:color w:val="auto"/>
        </w:rPr>
        <w:t>—</w:t>
      </w:r>
      <w:r>
        <w:rPr>
          <w:rFonts w:ascii="Arial" w:cs="Arial" w:eastAsia="Arial" w:hAnsi="Arial"/>
          <w:sz w:val="17"/>
          <w:szCs w:val="17"/>
          <w:color w:val="auto"/>
        </w:rPr>
        <w:t>third parties," "Current portion of operating lease liabilities</w:t>
      </w:r>
      <w:r>
        <w:rPr>
          <w:rFonts w:ascii="Arial" w:cs="Arial" w:eastAsia="Arial" w:hAnsi="Arial"/>
          <w:sz w:val="13"/>
          <w:szCs w:val="13"/>
          <w:color w:val="auto"/>
        </w:rPr>
        <w:t>—</w:t>
      </w:r>
      <w:r>
        <w:rPr>
          <w:rFonts w:ascii="Arial" w:cs="Arial" w:eastAsia="Arial" w:hAnsi="Arial"/>
          <w:sz w:val="17"/>
          <w:szCs w:val="17"/>
          <w:color w:val="auto"/>
        </w:rPr>
        <w:t>related parties," "Operating lease liabilities</w:t>
      </w:r>
      <w:r>
        <w:rPr>
          <w:rFonts w:ascii="Arial" w:cs="Arial" w:eastAsia="Arial" w:hAnsi="Arial"/>
          <w:sz w:val="13"/>
          <w:szCs w:val="13"/>
          <w:color w:val="auto"/>
        </w:rPr>
        <w:t>—</w:t>
      </w:r>
      <w:r>
        <w:rPr>
          <w:rFonts w:ascii="Arial" w:cs="Arial" w:eastAsia="Arial" w:hAnsi="Arial"/>
          <w:sz w:val="17"/>
          <w:szCs w:val="17"/>
          <w:color w:val="auto"/>
        </w:rPr>
        <w:t>third parties" and "Operating lease liabilities</w:t>
      </w:r>
      <w:r>
        <w:rPr>
          <w:rFonts w:ascii="Arial" w:cs="Arial" w:eastAsia="Arial" w:hAnsi="Arial"/>
          <w:sz w:val="13"/>
          <w:szCs w:val="13"/>
          <w:color w:val="auto"/>
        </w:rPr>
        <w:t>—</w:t>
      </w:r>
      <w:r>
        <w:rPr>
          <w:rFonts w:ascii="Arial" w:cs="Arial" w:eastAsia="Arial" w:hAnsi="Arial"/>
          <w:sz w:val="17"/>
          <w:szCs w:val="17"/>
          <w:color w:val="auto"/>
        </w:rPr>
        <w:t>related parties" on the Company's condensed consolidated balance sheet. ROU assets represent the Company's right to use an underlying asset for the lease term and lease liabilities represent the Company's present value of its future lease payments. In assessing its leases and determining its lease liability, the Company was not able to readily determine the rate implicit for its lessee arrangements, and thus has used CCIC's incremental borrowing rate on a collateralized basis to determine the present value of the lease payments. The Company's ROU assets are measured as the balance of the lease liability plus any prepaid or accrued lease payments and any unamortized initial direct costs. Operating lease expenses are recognized on a ratable basis, regardless of whether the payment terms require the Company to make payments annually, quarterly, monthly, or for the entire term in advance. Certain of the Company's ground lease agreements contain fixed escalation clauses (such as fixed dollar or fixed percentage increases) or inflation-based escalation clauses (such as those tied to the change in CPI). If the payment terms include fixed escalator provisions, the effect of such increases is recognized on a straight-line basis. The Company calculates the straight-line expense over the contract's estimated lease term, including any renewal option periods that the Company deems reasonably certain to be exercised.</w:t>
      </w:r>
    </w:p>
    <w:p>
      <w:pPr>
        <w:spacing w:after="0" w:line="1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Lease agreements may also contain provisions for a contingent payment based on (1) the revenues derived from the communications infrastructure located on the leased asset or (2) the change in CPI. The Company's contingent payments are considered variable lease payments and are (1) not included in the initial measurement of the ROU asset or lease liability due to the uncertainty of the payment amount, and (2) recorded as expense in the period such contingencies are resolved.</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ROU assets associated with finance leases are included in "Property and equipment, net" on the Company's condensed consolidated balance sheet. If applicable, the Company measures the lease liability for finance leases using the effective interest method. The initial lease liability is increased to reflect interest on the liability and decreased to reflect payments made during the period. Interest on the lease liability is determined each period during the lease term as the amount that results in a constant periodic discount rate on the remaining balance of the liability. The Company measures ROU assets for finance leases on a ratable basis over the applicable lease term.</w:t>
      </w:r>
    </w:p>
    <w:p>
      <w:pPr>
        <w:spacing w:after="0" w:line="13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i w:val="1"/>
          <w:iCs w:val="1"/>
          <w:color w:val="auto"/>
        </w:rPr>
        <w:t>Lease Accounting</w:t>
      </w:r>
      <w:r>
        <w:rPr>
          <w:rFonts w:ascii="Arial" w:cs="Arial" w:eastAsia="Arial" w:hAnsi="Arial"/>
          <w:sz w:val="13"/>
          <w:szCs w:val="13"/>
          <w:color w:val="auto"/>
        </w:rPr>
        <w:t>—</w:t>
      </w:r>
      <w:r>
        <w:rPr>
          <w:rFonts w:ascii="Arial" w:cs="Arial" w:eastAsia="Arial" w:hAnsi="Arial"/>
          <w:sz w:val="16"/>
          <w:szCs w:val="16"/>
          <w:i w:val="1"/>
          <w:iCs w:val="1"/>
          <w:color w:val="auto"/>
        </w:rPr>
        <w:t xml:space="preserve">Lessor. </w:t>
      </w:r>
      <w:r>
        <w:rPr>
          <w:rFonts w:ascii="Arial" w:cs="Arial" w:eastAsia="Arial" w:hAnsi="Arial"/>
          <w:sz w:val="16"/>
          <w:szCs w:val="16"/>
          <w:color w:val="auto"/>
        </w:rPr>
        <w:t>The Company's lessor arrangements primarily include contracts for dedicated space on its communications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classifies its leases at inception as operating, direct financing or sales-type leases. A lease is classified as a sales-type lease if at least one of the following criteria is met: (1) the lease transfers ownership of the underlying asset to the lessee, (2) the lease grants the lessee an option to purchase the underlying asset that the lessee is reasonably certain to exercise, (3) the lease term is for a major part of the remaining economic life of the underlying asset,</w:t>
      </w:r>
    </w:p>
    <w:p>
      <w:pPr>
        <w:spacing w:after="0" w:line="3" w:lineRule="exact"/>
        <w:rPr>
          <w:sz w:val="20"/>
          <w:szCs w:val="20"/>
          <w:color w:val="auto"/>
        </w:rPr>
      </w:pPr>
    </w:p>
    <w:p>
      <w:pPr>
        <w:jc w:val="both"/>
        <w:ind w:firstLine="8"/>
        <w:spacing w:after="0" w:line="252"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present value of the sum of the lease payments equals or exceeds substantially all of the fair value of the underlying assets, or (5) the underlying asset is of such a specialized nature that it is expected to have no alternative use to the lessor at the end of the lease term. Furthermore, when none of the above criteria is met, a lease is classified as a direct financing lease if both of the following criteria are met: (1) the present value of the of the sum of the lease payments and any residual value guaranteed by the lessee that is not already reflected in the lease payments equals or exceeds the fair value of the underlying asset and (2) it is probable that the lessor will collect the lease payments plus any amount necessary to satisfy a residual value guarantee. A lease is classified as an operating lease if it does not qualify as a sales-type or direct financing lease. Currently, the Company classifies all of its lessor arrangements as operating leases.</w:t>
      </w:r>
    </w:p>
    <w:p>
      <w:pPr>
        <w:spacing w:after="0" w:line="13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Site rental revenues from the Company’s lessor arrangements are recognized on a straight-line, ratable basis over the fixed, non-cancelable term of the relevant contract, regardless of whether the payments from the tenant are received in equal monthly amounts during the life of a contract. Certain of the Company's contracts contain fixed escalation clauses (such as fixed-dollar or fixed-percentage increases) or inflation-based escalation clauses (such as those tied to the change in CPI). If the payment terms call for fixed elements, such as fixed escalations, upfront payments, or rent-free periods, the rental revenue is recognized on a straight-line basis over the fixed, non-cancelable term of the agreement. When calculating straight-line site rental revenues, the Company considers all fixed elements of tenant contractual escalation provisions.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8 for further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No new accounting pronouncements issued but not yet adopted are expected to have a material impact on the Company's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33"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outstanding balance of the 3.849% Secured Notes due April 2023 as of June 30, 2019 and December 31, 2018 was $995 million and $994 million,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 and Amortization of Deferred Financing Costs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interest expense and amortization of deferred financing costs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on debt obligations</w:t>
            </w: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9,622</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9,622</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19,245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19,245</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692</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9,968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9,968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19,937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19,937</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 insurance premiums). Further, in connection with its role as Manager, CCUSA may make certain modifications to the Company's towers.</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CCUSA may perform installation services on the Company's towers, for which the Company is not a party to any agreement and for which no operating results are reflected herein.</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part of the CCIC strategy to obtain long-term control of the land under its towers, affiliates of the Company have acquired rights to land under the Company's towers. These affiliates then lease the land to the Company. Under such circumstances, the Company's obligation typically continues with the same or similar economic terms as the contract for the land that existed prior to an affiliate acquiring rights to such land. As of June 30, 2019, approximately 30% of the Company's towers were located on land which was controlled by an affiliate. Also, the Company receives site rental revenue from affiliates for land controlled by the Company on which affiliates have towers and pays ground rent expense to affiliates for land owned by affiliates on which the Company has towers.</w:t>
      </w:r>
    </w:p>
    <w:p>
      <w:pPr>
        <w:spacing w:after="0" w:line="139" w:lineRule="exact"/>
        <w:rPr>
          <w:sz w:val="20"/>
          <w:szCs w:val="20"/>
          <w:color w:val="auto"/>
        </w:rPr>
      </w:pPr>
    </w:p>
    <w:p>
      <w:pPr>
        <w:jc w:val="both"/>
        <w:ind w:firstLine="405"/>
        <w:spacing w:after="0" w:line="280" w:lineRule="auto"/>
        <w:rPr>
          <w:sz w:val="20"/>
          <w:szCs w:val="20"/>
          <w:color w:val="auto"/>
        </w:rPr>
      </w:pPr>
      <w:r>
        <w:rPr>
          <w:rFonts w:ascii="Arial" w:cs="Arial" w:eastAsia="Arial" w:hAnsi="Arial"/>
          <w:sz w:val="17"/>
          <w:szCs w:val="17"/>
          <w:color w:val="auto"/>
        </w:rPr>
        <w:t>For the six months ended June 30, 2019 and 2018, the Company recorded equity distributions of $144.0 million and $159.6 million, respectively, reflecting distributions to its member. Cash on hand above the amount that is required by the Management Agreement has been, and is expected to continue to be, distributed to the Company's parent company. As of June 30, 2019 and 2018, other than the amounts of its ROU assets and operating lease liabilities related to land leased from affiliates of the Company reflected in "Operating lease right-of-use assets," "Current portion of operating lease liabilities</w:t>
      </w:r>
      <w:r>
        <w:rPr>
          <w:rFonts w:ascii="Arial" w:cs="Arial" w:eastAsia="Arial" w:hAnsi="Arial"/>
          <w:sz w:val="13"/>
          <w:szCs w:val="13"/>
          <w:color w:val="auto"/>
        </w:rPr>
        <w:t>—</w:t>
      </w:r>
      <w:r>
        <w:rPr>
          <w:rFonts w:ascii="Arial" w:cs="Arial" w:eastAsia="Arial" w:hAnsi="Arial"/>
          <w:sz w:val="17"/>
          <w:szCs w:val="17"/>
          <w:color w:val="auto"/>
        </w:rPr>
        <w:t>related parties" and "Operating lease liabilities</w:t>
      </w:r>
      <w:r>
        <w:rPr>
          <w:rFonts w:ascii="Arial" w:cs="Arial" w:eastAsia="Arial" w:hAnsi="Arial"/>
          <w:sz w:val="13"/>
          <w:szCs w:val="13"/>
          <w:color w:val="auto"/>
        </w:rPr>
        <w:t>—</w:t>
      </w:r>
      <w:r>
        <w:rPr>
          <w:rFonts w:ascii="Arial" w:cs="Arial" w:eastAsia="Arial" w:hAnsi="Arial"/>
          <w:sz w:val="17"/>
          <w:szCs w:val="17"/>
          <w:color w:val="auto"/>
        </w:rPr>
        <w:t>related parties" on the Company's condensed consolidated balance sheet, the Company had no material related party assets or liabilities on its condensed consolidated balance sheet.</w:t>
      </w:r>
    </w:p>
    <w:p>
      <w:pPr>
        <w:spacing w:after="0" w:line="329"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CCIC operates as a REIT for U.S. federal income tax purposes. As a REIT, CCIC is generally entitled to a deduction for dividends that it pays and therefore is not subject to U.S. federal corporate income tax on its net taxable income that is currently distributed to its stockholders. For U.S. federal income tax purposes, the Company's assets and operations are included in the CCIC REIT.</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six months ended June 30, 2019 and 2018, the Company's effective tax rate differed from the federal statutory rate predominately due to (1) CCIC's REIT status, including the dividends paid deduction and (2) state taxes.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33"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fair value of cash and cash equivalents approximates the carrying value.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applicable. Since December 31, 2018, there have not been any changes in the Company's valuation techniques used to measure fair values. The estimated fair values of the Company's financial instruments, along with the carrying amounts of the related assets and liabilities, are as follows:</w:t>
      </w: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Level in Fair</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530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Carrying</w:t>
            </w:r>
          </w:p>
        </w:tc>
        <w:tc>
          <w:tcPr>
            <w:tcW w:w="360" w:type="dxa"/>
            <w:vAlign w:val="bottom"/>
          </w:tcPr>
          <w:p>
            <w:pPr>
              <w:spacing w:after="0"/>
              <w:rPr>
                <w:sz w:val="13"/>
                <w:szCs w:val="13"/>
                <w:color w:val="auto"/>
              </w:rPr>
            </w:pPr>
          </w:p>
        </w:tc>
        <w:tc>
          <w:tcPr>
            <w:tcW w:w="88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86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Hierarchy</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6"/>
                <w:szCs w:val="16"/>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860" w:type="dxa"/>
            <w:vAlign w:val="bottom"/>
          </w:tcPr>
          <w:p>
            <w:pPr>
              <w:jc w:val="right"/>
              <w:ind w:right="303"/>
              <w:spacing w:after="0"/>
              <w:rPr>
                <w:sz w:val="20"/>
                <w:szCs w:val="20"/>
                <w:color w:val="auto"/>
              </w:rPr>
            </w:pPr>
            <w:r>
              <w:rPr>
                <w:rFonts w:ascii="Arial" w:cs="Arial" w:eastAsia="Arial" w:hAnsi="Arial"/>
                <w:sz w:val="14"/>
                <w:szCs w:val="14"/>
                <w:b w:val="1"/>
                <w:bCs w:val="1"/>
                <w:color w:val="auto"/>
              </w:rPr>
              <w:t>Value</w:t>
            </w:r>
          </w:p>
        </w:tc>
      </w:tr>
      <w:tr>
        <w:trPr>
          <w:trHeight w:val="250"/>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60"/>
              <w:spacing w:after="0"/>
              <w:rPr>
                <w:sz w:val="20"/>
                <w:szCs w:val="20"/>
                <w:color w:val="auto"/>
              </w:rPr>
            </w:pPr>
            <w:r>
              <w:rPr>
                <w:rFonts w:ascii="Arial" w:cs="Arial" w:eastAsia="Arial" w:hAnsi="Arial"/>
                <w:sz w:val="16"/>
                <w:szCs w:val="16"/>
                <w:color w:val="auto"/>
              </w:rPr>
              <w:t>Cash and cash equivalents</w:t>
            </w:r>
          </w:p>
        </w:tc>
        <w:tc>
          <w:tcPr>
            <w:tcW w:w="102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17,679</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17,679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18,707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18,707</w:t>
            </w:r>
          </w:p>
        </w:tc>
      </w:tr>
      <w:tr>
        <w:trPr>
          <w:trHeight w:val="33"/>
        </w:trPr>
        <w:tc>
          <w:tcPr>
            <w:tcW w:w="5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60"/>
              <w:spacing w:after="0"/>
              <w:rPr>
                <w:sz w:val="20"/>
                <w:szCs w:val="20"/>
                <w:color w:val="auto"/>
              </w:rPr>
            </w:pPr>
            <w:r>
              <w:rPr>
                <w:rFonts w:ascii="Arial" w:cs="Arial" w:eastAsia="Arial" w:hAnsi="Arial"/>
                <w:sz w:val="16"/>
                <w:szCs w:val="16"/>
                <w:color w:val="auto"/>
              </w:rPr>
              <w:t>Debt</w:t>
            </w:r>
          </w:p>
        </w:tc>
        <w:tc>
          <w:tcPr>
            <w:tcW w:w="1020" w:type="dxa"/>
            <w:vAlign w:val="bottom"/>
          </w:tcPr>
          <w:p>
            <w:pPr>
              <w:jc w:val="center"/>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994,739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color w:val="auto"/>
                <w:w w:val="89"/>
              </w:rPr>
              <w:t>1,039,900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994,047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990,600</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condensed consolidated financial position or results of operations. In addition, CCIC, through its subsidiaries (including the Company), has the option to purchase in 2037 all (but not less than all) of the Sprint Sites, which represent approximately 68% of the Company's sites. CCIC has no obligation to exercise the purchase option.</w:t>
      </w:r>
    </w:p>
    <w:p>
      <w:pPr>
        <w:spacing w:after="0" w:line="351"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Lessor Tenant Leases</w:t>
      </w:r>
    </w:p>
    <w:p>
      <w:pPr>
        <w:spacing w:after="0" w:line="171"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following table is a summary of the rental cash payments owed to the Company, as a lessor, by tenants pursuant to contractual agreements in effect as of June 30, 2019. Generally, the Company's leases with its tenants provide for (1) annual escalations, (2) multiple renewal periods at the tenant's option and</w:t>
      </w:r>
    </w:p>
    <w:p>
      <w:pPr>
        <w:ind w:right="20" w:firstLine="8"/>
        <w:spacing w:after="0" w:line="261" w:lineRule="auto"/>
        <w:tabs>
          <w:tab w:leader="none" w:pos="2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only limited termination rights at the applicable tenant's option through the current term. The tenants' rental payments included in the table below are through the current terms with a maximum current term of 20 years and do not assume exercise of tenant renewal options.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Six months ending</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w w:val="99"/>
              </w:rPr>
              <w:t>Years ending December 31,</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22"/>
                <w:szCs w:val="22"/>
                <w:color w:val="auto"/>
              </w:rPr>
            </w:pPr>
          </w:p>
        </w:tc>
        <w:tc>
          <w:tcPr>
            <w:tcW w:w="960" w:type="dxa"/>
            <w:vAlign w:val="bottom"/>
          </w:tcPr>
          <w:p>
            <w:pPr>
              <w:jc w:val="right"/>
              <w:ind w:right="38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Tenant leases</w:t>
            </w:r>
            <w:r>
              <w:rPr>
                <w:rFonts w:ascii="Arial" w:cs="Arial" w:eastAsia="Arial" w:hAnsi="Arial"/>
                <w:sz w:val="21"/>
                <w:szCs w:val="21"/>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329,396</w:t>
            </w:r>
          </w:p>
        </w:tc>
        <w:tc>
          <w:tcPr>
            <w:tcW w:w="14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660,880</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655,884</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635,924</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476,950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1,587,656</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4,346,690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4.</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Lessee Operating Leases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Company's lease expense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6"/>
                <w:szCs w:val="16"/>
                <w:color w:val="auto"/>
              </w:rPr>
            </w:pPr>
          </w:p>
        </w:tc>
        <w:tc>
          <w:tcPr>
            <w:tcW w:w="1760" w:type="dxa"/>
            <w:vAlign w:val="bottom"/>
          </w:tcPr>
          <w:p>
            <w:pPr>
              <w:jc w:val="right"/>
              <w:ind w:right="383"/>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7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2019</w:t>
            </w:r>
          </w:p>
        </w:tc>
        <w:tc>
          <w:tcPr>
            <w:tcW w:w="280" w:type="dxa"/>
            <w:vAlign w:val="bottom"/>
          </w:tcPr>
          <w:p>
            <w:pPr>
              <w:spacing w:after="0"/>
              <w:rPr>
                <w:sz w:val="24"/>
                <w:szCs w:val="24"/>
                <w:color w:val="auto"/>
              </w:rPr>
            </w:pPr>
          </w:p>
        </w:tc>
        <w:tc>
          <w:tcPr>
            <w:tcW w:w="1760" w:type="dxa"/>
            <w:vAlign w:val="bottom"/>
          </w:tcPr>
          <w:p>
            <w:pPr>
              <w:jc w:val="right"/>
              <w:ind w:right="523"/>
              <w:spacing w:after="0"/>
              <w:rPr>
                <w:sz w:val="20"/>
                <w:szCs w:val="20"/>
                <w:color w:val="auto"/>
              </w:rPr>
            </w:pPr>
            <w:r>
              <w:rPr>
                <w:rFonts w:ascii="Arial" w:cs="Arial" w:eastAsia="Arial" w:hAnsi="Arial"/>
                <w:sz w:val="14"/>
                <w:szCs w:val="14"/>
                <w:b w:val="1"/>
                <w:bCs w:val="1"/>
                <w:color w:val="auto"/>
              </w:rPr>
              <w:t>June 30, 2019</w:t>
            </w:r>
          </w:p>
        </w:tc>
      </w:tr>
      <w:tr>
        <w:trPr>
          <w:trHeight w:val="270"/>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cost</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280" w:type="dxa"/>
            <w:vAlign w:val="bottom"/>
            <w:tcBorders>
              <w:top w:val="single" w:sz="8" w:color="auto"/>
            </w:tcBorders>
            <w:shd w:val="clear" w:color="auto" w:fill="CCEEFF"/>
          </w:tcPr>
          <w:p>
            <w:pPr>
              <w:spacing w:after="0"/>
              <w:rPr>
                <w:sz w:val="23"/>
                <w:szCs w:val="23"/>
                <w:color w:val="auto"/>
              </w:rPr>
            </w:pPr>
          </w:p>
        </w:tc>
        <w:tc>
          <w:tcPr>
            <w:tcW w:w="1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760" w:type="dxa"/>
            <w:vAlign w:val="bottom"/>
            <w:tcBorders>
              <w:top w:val="single" w:sz="8" w:color="auto"/>
            </w:tcBorders>
            <w:shd w:val="clear" w:color="auto" w:fill="CCEEFF"/>
          </w:tcPr>
          <w:p>
            <w:pPr>
              <w:spacing w:after="0"/>
              <w:rPr>
                <w:sz w:val="23"/>
                <w:szCs w:val="23"/>
                <w:color w:val="auto"/>
              </w:rPr>
            </w:pPr>
          </w:p>
        </w:tc>
      </w:tr>
      <w:tr>
        <w:trPr>
          <w:trHeight w:val="270"/>
        </w:trPr>
        <w:tc>
          <w:tcPr>
            <w:tcW w:w="7080" w:type="dxa"/>
            <w:vAlign w:val="bottom"/>
          </w:tcPr>
          <w:p>
            <w:pPr>
              <w:ind w:left="180"/>
              <w:spacing w:after="0"/>
              <w:rPr>
                <w:sz w:val="20"/>
                <w:szCs w:val="20"/>
                <w:color w:val="auto"/>
              </w:rPr>
            </w:pPr>
            <w:r>
              <w:rPr>
                <w:rFonts w:ascii="Arial" w:cs="Arial" w:eastAsia="Arial" w:hAnsi="Arial"/>
                <w:sz w:val="16"/>
                <w:szCs w:val="16"/>
                <w:color w:val="auto"/>
              </w:rPr>
              <w:t>Operating lease expense</w:t>
            </w:r>
            <w:r>
              <w:rPr>
                <w:rFonts w:ascii="Arial" w:cs="Arial" w:eastAsia="Arial" w:hAnsi="Arial"/>
                <w:sz w:val="21"/>
                <w:szCs w:val="21"/>
                <w:color w:val="auto"/>
                <w:vertAlign w:val="superscript"/>
              </w:rPr>
              <w:t>(b)</w:t>
            </w:r>
          </w:p>
        </w:tc>
        <w:tc>
          <w:tcPr>
            <w:tcW w:w="280" w:type="dxa"/>
            <w:vAlign w:val="bottom"/>
          </w:tcPr>
          <w:p>
            <w:pPr>
              <w:spacing w:after="0"/>
              <w:rPr>
                <w:sz w:val="23"/>
                <w:szCs w:val="23"/>
                <w:color w:val="auto"/>
              </w:rPr>
            </w:pPr>
          </w:p>
        </w:tc>
        <w:tc>
          <w:tcPr>
            <w:tcW w:w="1920" w:type="dxa"/>
            <w:vAlign w:val="bottom"/>
          </w:tcPr>
          <w:p>
            <w:pPr>
              <w:jc w:val="right"/>
              <w:ind w:right="43"/>
              <w:spacing w:after="0"/>
              <w:rPr>
                <w:sz w:val="20"/>
                <w:szCs w:val="20"/>
                <w:color w:val="auto"/>
              </w:rPr>
            </w:pPr>
            <w:r>
              <w:rPr>
                <w:rFonts w:ascii="Arial" w:cs="Arial" w:eastAsia="Arial" w:hAnsi="Arial"/>
                <w:sz w:val="16"/>
                <w:szCs w:val="16"/>
                <w:color w:val="auto"/>
              </w:rPr>
              <w:t>30,034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60" w:type="dxa"/>
            <w:vAlign w:val="bottom"/>
          </w:tcPr>
          <w:p>
            <w:pPr>
              <w:jc w:val="right"/>
              <w:ind w:right="23"/>
              <w:spacing w:after="0"/>
              <w:rPr>
                <w:sz w:val="20"/>
                <w:szCs w:val="20"/>
                <w:color w:val="auto"/>
              </w:rPr>
            </w:pPr>
            <w:r>
              <w:rPr>
                <w:rFonts w:ascii="Arial" w:cs="Arial" w:eastAsia="Arial" w:hAnsi="Arial"/>
                <w:sz w:val="16"/>
                <w:szCs w:val="16"/>
                <w:color w:val="auto"/>
              </w:rPr>
              <w:t>59,201</w:t>
            </w: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Variable lease expense</w:t>
            </w:r>
            <w:r>
              <w:rPr>
                <w:rFonts w:ascii="Arial" w:cs="Arial" w:eastAsia="Arial" w:hAnsi="Arial"/>
                <w:sz w:val="21"/>
                <w:szCs w:val="21"/>
                <w:color w:val="auto"/>
                <w:vertAlign w:val="superscript"/>
              </w:rPr>
              <w:t>(c)</w:t>
            </w:r>
          </w:p>
        </w:tc>
        <w:tc>
          <w:tcPr>
            <w:tcW w:w="28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8,921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18,622</w:t>
            </w:r>
          </w:p>
        </w:tc>
      </w:tr>
      <w:tr>
        <w:trPr>
          <w:trHeight w:val="244"/>
        </w:trPr>
        <w:tc>
          <w:tcPr>
            <w:tcW w:w="7080" w:type="dxa"/>
            <w:vAlign w:val="bottom"/>
          </w:tcPr>
          <w:p>
            <w:pPr>
              <w:ind w:left="40"/>
              <w:spacing w:after="0"/>
              <w:rPr>
                <w:sz w:val="20"/>
                <w:szCs w:val="20"/>
                <w:color w:val="auto"/>
              </w:rPr>
            </w:pPr>
            <w:r>
              <w:rPr>
                <w:rFonts w:ascii="Arial" w:cs="Arial" w:eastAsia="Arial" w:hAnsi="Arial"/>
                <w:sz w:val="16"/>
                <w:szCs w:val="16"/>
                <w:color w:val="auto"/>
              </w:rPr>
              <w:t>Total lease expense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38,955</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77,823</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4.</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Company's operating lease expense related to its ROU assets for both the three and six months ended June 30, 2019.</w:t>
      </w:r>
    </w:p>
    <w:p>
      <w:pPr>
        <w:spacing w:after="0" w:line="1"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Company's contingent payments for operating leases (such as payments based on revenues derived from the communications infrastructure located on the leased asset) for both the three and six months ended June 30, 2019. Such contingencies are recognized as expense in the period they are resolved.</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Lessee Finance Leases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Company's finance leases are related to the towers subject to prepaid master lease agreements with Sprint and are recorded as "Property and equipment, net" on the condensed consolidated balance sheet. See note 1 for further discussion of the Company's prepaid master lease agreements and note 2 for further information regarding the Company's adoption method of the new lease standard. Finance leases and associated leasehold improvements related to gross property and equipment and accumulated depreciation were $979 million and $625 million, respectively, as of June 30, 2019. For the three and six months ended June 30, 2019, the Company recorded $10 million and $21 million to "Depreciation, amortization and accretion" related to finance leases, respectively.</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Lessee Information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2019, the Company's weighted-average remaining lease term and weighted-average discount rate for operating leases were 16 years and 4.6%,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summary of the Company's maturities of operating lease liabilities as of June 30,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2"/>
                <w:szCs w:val="12"/>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Six months ending</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4"/>
        </w:trPr>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December 31,</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4"/>
          </w:tcPr>
          <w:p>
            <w:pPr>
              <w:ind w:left="240"/>
              <w:spacing w:after="0"/>
              <w:rPr>
                <w:sz w:val="20"/>
                <w:szCs w:val="20"/>
                <w:color w:val="auto"/>
              </w:rPr>
            </w:pPr>
            <w:r>
              <w:rPr>
                <w:rFonts w:ascii="Arial" w:cs="Arial" w:eastAsia="Arial" w:hAnsi="Arial"/>
                <w:sz w:val="13"/>
                <w:szCs w:val="13"/>
                <w:b w:val="1"/>
                <w:bCs w:val="1"/>
                <w:color w:val="auto"/>
              </w:rPr>
              <w:t>Years ending December 31,</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30"/>
        </w:trPr>
        <w:tc>
          <w:tcPr>
            <w:tcW w:w="1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3"/>
              </w:rPr>
              <w:t>Total</w:t>
            </w: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undiscounted</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Less: Imputed</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Total operating</w:t>
            </w:r>
          </w:p>
        </w:tc>
      </w:tr>
      <w:tr>
        <w:trPr>
          <w:trHeight w:val="174"/>
        </w:trPr>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91"/>
              <w:spacing w:after="0"/>
              <w:rPr>
                <w:sz w:val="20"/>
                <w:szCs w:val="20"/>
                <w:color w:val="auto"/>
              </w:rPr>
            </w:pPr>
            <w:r>
              <w:rPr>
                <w:rFonts w:ascii="Arial" w:cs="Arial" w:eastAsia="Arial" w:hAnsi="Arial"/>
                <w:sz w:val="13"/>
                <w:szCs w:val="13"/>
                <w:b w:val="1"/>
                <w:bCs w:val="1"/>
                <w:color w:val="auto"/>
                <w:w w:val="82"/>
              </w:rPr>
              <w:t>2019</w:t>
            </w:r>
          </w:p>
        </w:tc>
        <w:tc>
          <w:tcPr>
            <w:tcW w:w="120" w:type="dxa"/>
            <w:vAlign w:val="bottom"/>
          </w:tcPr>
          <w:p>
            <w:pPr>
              <w:spacing w:after="0"/>
              <w:rPr>
                <w:sz w:val="15"/>
                <w:szCs w:val="15"/>
                <w:color w:val="auto"/>
              </w:rPr>
            </w:pPr>
          </w:p>
        </w:tc>
        <w:tc>
          <w:tcPr>
            <w:tcW w:w="940" w:type="dxa"/>
            <w:vAlign w:val="bottom"/>
          </w:tcPr>
          <w:p>
            <w:pPr>
              <w:jc w:val="right"/>
              <w:ind w:right="268"/>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920" w:type="dxa"/>
            <w:vAlign w:val="bottom"/>
          </w:tcPr>
          <w:p>
            <w:pPr>
              <w:jc w:val="right"/>
              <w:ind w:right="271"/>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940" w:type="dxa"/>
            <w:vAlign w:val="bottom"/>
          </w:tcPr>
          <w:p>
            <w:pPr>
              <w:jc w:val="right"/>
              <w:ind w:right="268"/>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900" w:type="dxa"/>
            <w:vAlign w:val="bottom"/>
          </w:tcPr>
          <w:p>
            <w:pPr>
              <w:jc w:val="right"/>
              <w:ind w:right="248"/>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120" w:type="dxa"/>
            <w:vAlign w:val="bottom"/>
            <w:gridSpan w:val="2"/>
          </w:tcPr>
          <w:p>
            <w:pPr>
              <w:ind w:left="220"/>
              <w:spacing w:after="0"/>
              <w:rPr>
                <w:sz w:val="20"/>
                <w:szCs w:val="20"/>
                <w:color w:val="auto"/>
              </w:rPr>
            </w:pPr>
            <w:r>
              <w:rPr>
                <w:rFonts w:ascii="Arial" w:cs="Arial" w:eastAsia="Arial" w:hAnsi="Arial"/>
                <w:sz w:val="13"/>
                <w:szCs w:val="13"/>
                <w:b w:val="1"/>
                <w:bCs w:val="1"/>
                <w:color w:val="auto"/>
              </w:rPr>
              <w:t>Thereafter</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4"/>
              </w:rPr>
              <w:t>lease payments</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5"/>
              </w:rPr>
              <w:t>interest</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4"/>
              </w:rPr>
              <w:t>lease liabilities</w:t>
            </w:r>
          </w:p>
        </w:tc>
      </w:tr>
      <w:tr>
        <w:trPr>
          <w:trHeight w:val="270"/>
        </w:trPr>
        <w:tc>
          <w:tcPr>
            <w:tcW w:w="1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leases</w:t>
            </w:r>
            <w:r>
              <w:rPr>
                <w:rFonts w:ascii="Arial" w:cs="Arial" w:eastAsia="Arial" w:hAnsi="Arial"/>
                <w:sz w:val="21"/>
                <w:szCs w:val="21"/>
                <w:color w:val="auto"/>
                <w:vertAlign w:val="superscript"/>
              </w:rPr>
              <w:t>(a)(b)</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6"/>
                <w:szCs w:val="16"/>
                <w:color w:val="auto"/>
              </w:rPr>
              <w:t>52,837</w:t>
            </w:r>
          </w:p>
        </w:tc>
        <w:tc>
          <w:tcPr>
            <w:tcW w:w="12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6"/>
                <w:szCs w:val="16"/>
                <w:color w:val="auto"/>
              </w:rPr>
              <w:t>$  106,789</w:t>
            </w:r>
          </w:p>
        </w:tc>
        <w:tc>
          <w:tcPr>
            <w:tcW w:w="1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6"/>
                <w:szCs w:val="16"/>
                <w:color w:val="auto"/>
              </w:rPr>
              <w:t>$  106,620</w:t>
            </w:r>
          </w:p>
        </w:tc>
        <w:tc>
          <w:tcPr>
            <w:tcW w:w="12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  105,990</w:t>
            </w: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  105,080</w:t>
            </w: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w w:val="98"/>
              </w:rPr>
              <w:t>$  1,212,258</w:t>
            </w:r>
          </w:p>
        </w:tc>
        <w:tc>
          <w:tcPr>
            <w:tcW w:w="10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6"/>
                <w:szCs w:val="16"/>
                <w:color w:val="auto"/>
              </w:rPr>
              <w:t>$  1,689,574</w:t>
            </w: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   (519,248)</w:t>
            </w:r>
          </w:p>
        </w:tc>
        <w:tc>
          <w:tcPr>
            <w:tcW w:w="10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6"/>
                <w:szCs w:val="16"/>
                <w:color w:val="auto"/>
              </w:rPr>
              <w:t>$  1,170,326</w:t>
            </w:r>
          </w:p>
        </w:tc>
      </w:tr>
    </w:tbl>
    <w:p>
      <w:pPr>
        <w:spacing w:after="0" w:line="197" w:lineRule="exact"/>
        <w:rPr>
          <w:sz w:val="20"/>
          <w:szCs w:val="20"/>
          <w:color w:val="auto"/>
        </w:rPr>
      </w:pPr>
    </w:p>
    <w:p>
      <w:pPr>
        <w:ind w:left="340" w:hanging="332"/>
        <w:spacing w:after="0" w:line="250"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Excludes the Company's contingent payments for operating leases (such as payments based on revenues derived from the communications infrastructure located on the leased asset) as such arrangements are excluded from the Company's operating lease liability. Such contingencies are recognized as expense in the period they are resolved.</w:t>
      </w: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Comparative Information from 2018 Form 10-K</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adopted ASC 842 using a modified retrospective approach as of the effective date, without adjusting the comparative periods and therefore, as required by ASC 842, and has included the following comparative information from note 10 to the consolidated financial statements in its 2018 Form 10-K.</w:t>
      </w:r>
    </w:p>
    <w:p>
      <w:pPr>
        <w:spacing w:after="0" w:line="12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operating lease payments included in the table below include payments for certain renewal periods at the Company's option that are deemed reasonably assured to be exercised and an estimate of contingent payments based on revenues and gross margins derived from existing tenant leases.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24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Total</w:t>
            </w:r>
          </w:p>
        </w:tc>
      </w:tr>
      <w:tr>
        <w:trPr>
          <w:trHeight w:val="25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r>
              <w:rPr>
                <w:rFonts w:ascii="Arial" w:cs="Arial" w:eastAsia="Arial" w:hAnsi="Arial"/>
                <w:sz w:val="21"/>
                <w:szCs w:val="21"/>
                <w:color w:val="auto"/>
                <w:vertAlign w:val="superscript"/>
              </w:rPr>
              <w:t>(a)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142,671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144,069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144,390</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142,144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140,193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1,697,442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2,410,909</w:t>
            </w:r>
          </w:p>
        </w:tc>
      </w:tr>
    </w:tbl>
    <w:p>
      <w:pPr>
        <w:spacing w:after="0" w:line="19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4.</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5"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9.</w:t>
            </w:r>
          </w:p>
        </w:tc>
        <w:tc>
          <w:tcPr>
            <w:tcW w:w="8360" w:type="dxa"/>
            <w:vAlign w:val="bottom"/>
          </w:tcPr>
          <w:p>
            <w:pPr>
              <w:ind w:left="200"/>
              <w:spacing w:after="0"/>
              <w:rPr>
                <w:sz w:val="20"/>
                <w:szCs w:val="20"/>
                <w:color w:val="auto"/>
              </w:rPr>
            </w:pPr>
            <w:r>
              <w:rPr>
                <w:rFonts w:ascii="Arial" w:cs="Arial" w:eastAsia="Arial" w:hAnsi="Arial"/>
                <w:sz w:val="18"/>
                <w:szCs w:val="18"/>
                <w:b w:val="1"/>
                <w:bCs w:val="1"/>
                <w:color w:val="auto"/>
              </w:rPr>
              <w:t>Supplemental Cash Flow Information</w:t>
            </w: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99"/>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820" w:type="dxa"/>
            <w:vAlign w:val="bottom"/>
            <w:tcBorders>
              <w:bottom w:val="single" w:sz="8" w:color="auto"/>
            </w:tcBorders>
            <w:gridSpan w:val="5"/>
          </w:tcPr>
          <w:p>
            <w:pPr>
              <w:jc w:val="right"/>
              <w:ind w:right="48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0" w:type="dxa"/>
            <w:vAlign w:val="bottom"/>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36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r>
      <w:tr>
        <w:trPr>
          <w:trHeight w:val="250"/>
        </w:trPr>
        <w:tc>
          <w:tcPr>
            <w:tcW w:w="40" w:type="dxa"/>
            <w:vAlign w:val="bottom"/>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360" w:type="dxa"/>
            <w:vAlign w:val="bottom"/>
          </w:tcPr>
          <w:p>
            <w:pPr>
              <w:ind w:left="100"/>
              <w:spacing w:after="0"/>
              <w:rPr>
                <w:sz w:val="20"/>
                <w:szCs w:val="20"/>
                <w:color w:val="auto"/>
              </w:rPr>
            </w:pPr>
            <w:r>
              <w:rPr>
                <w:rFonts w:ascii="Arial" w:cs="Arial" w:eastAsia="Arial" w:hAnsi="Arial"/>
                <w:sz w:val="16"/>
                <w:szCs w:val="16"/>
                <w:color w:val="auto"/>
              </w:rPr>
              <w:t>Cash payments related to operating lease liabilities</w:t>
            </w:r>
            <w:r>
              <w:rPr>
                <w:rFonts w:ascii="Arial" w:cs="Arial" w:eastAsia="Arial" w:hAnsi="Arial"/>
                <w:sz w:val="21"/>
                <w:szCs w:val="21"/>
                <w:color w:val="auto"/>
                <w:vertAlign w:val="superscript"/>
              </w:rPr>
              <w:t>(a)(b)</w:t>
            </w:r>
          </w:p>
        </w:tc>
        <w:tc>
          <w:tcPr>
            <w:tcW w:w="760" w:type="dxa"/>
            <w:vAlign w:val="bottom"/>
          </w:tcPr>
          <w:p>
            <w:pPr>
              <w:jc w:val="right"/>
              <w:ind w:right="585"/>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3"/>
              </w:rPr>
              <w:t>52,422</w:t>
            </w:r>
          </w:p>
        </w:tc>
        <w:tc>
          <w:tcPr>
            <w:tcW w:w="10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50"/>
        </w:trPr>
        <w:tc>
          <w:tcPr>
            <w:tcW w:w="4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Interest paid</w:t>
            </w: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19,245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19,245</w:t>
            </w:r>
          </w:p>
        </w:tc>
      </w:tr>
      <w:tr>
        <w:trPr>
          <w:trHeight w:val="237"/>
        </w:trPr>
        <w:tc>
          <w:tcPr>
            <w:tcW w:w="40" w:type="dxa"/>
            <w:vAlign w:val="bottom"/>
          </w:tcPr>
          <w:p>
            <w:pPr>
              <w:spacing w:after="0"/>
              <w:rPr>
                <w:sz w:val="20"/>
                <w:szCs w:val="20"/>
                <w:color w:val="auto"/>
              </w:rPr>
            </w:pPr>
          </w:p>
        </w:tc>
        <w:tc>
          <w:tcPr>
            <w:tcW w:w="8540" w:type="dxa"/>
            <w:vAlign w:val="bottom"/>
            <w:gridSpan w:val="2"/>
          </w:tcPr>
          <w:p>
            <w:pPr>
              <w:ind w:left="20"/>
              <w:spacing w:after="0"/>
              <w:rPr>
                <w:sz w:val="20"/>
                <w:szCs w:val="20"/>
                <w:color w:val="auto"/>
              </w:rPr>
            </w:pPr>
            <w:r>
              <w:rPr>
                <w:rFonts w:ascii="Arial" w:cs="Arial" w:eastAsia="Arial" w:hAnsi="Arial"/>
                <w:sz w:val="16"/>
                <w:szCs w:val="16"/>
                <w:color w:val="auto"/>
              </w:rPr>
              <w:t>Supplemental disclosure of non-cash operating, investing and financing activities:</w:t>
            </w: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New ROU assets obtained in exchange for operating lease liabilities</w:t>
            </w:r>
            <w:r>
              <w:rPr>
                <w:rFonts w:ascii="Arial" w:cs="Arial" w:eastAsia="Arial" w:hAnsi="Arial"/>
                <w:sz w:val="21"/>
                <w:szCs w:val="21"/>
                <w:color w:val="auto"/>
                <w:vertAlign w:val="superscript"/>
              </w:rPr>
              <w:t>(b)</w:t>
            </w:r>
          </w:p>
        </w:tc>
        <w:tc>
          <w:tcPr>
            <w:tcW w:w="76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3"/>
              </w:rPr>
              <w:t>26,708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Excludes cash payments related to contingent payment pursuant to operating leases, which are recorded as expense in the period such contingencies are resolved.</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4.</w:t>
      </w:r>
    </w:p>
    <w:p>
      <w:pPr>
        <w:spacing w:after="0" w:line="368"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Subsidiaries</w:t>
      </w:r>
    </w:p>
    <w:p>
      <w:pPr>
        <w:spacing w:after="0" w:line="17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CCL has no independent assets or operations. The 3.849% Secured Notes are guaranteed by all subsidiaries of CCL, each of which is a wholly-owned subsidiary of CCL, other than Crown Castle GS III Corp., which is a co-issuer of the 2012 Secured Notes and a wholly-owned finance subsidiary. Such guarantees are full and unconditional and joint and several. Subject to the provisions of the Secured Notes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a subsidiary of CCL,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Secured Notes Indenture, or (4) upon the discharge of the Secured Notes Indenture in accordance with its terms.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5" w:right="239" w:bottom="1440" w:gutter="0" w:footer="0" w:header="0"/>
        </w:sectPr>
      </w:pPr>
    </w:p>
    <w:bookmarkStart w:id="13" w:name="page14"/>
    <w:bookmarkEnd w:id="13"/>
    <w:p>
      <w:pPr>
        <w:spacing w:after="0"/>
        <w:tabs>
          <w:tab w:leader="none" w:pos="1200" w:val="left"/>
        </w:tabs>
        <w:rPr>
          <w:sz w:val="20"/>
          <w:szCs w:val="20"/>
          <w:color w:val="auto"/>
        </w:rPr>
      </w:pPr>
      <w:r>
        <w:rPr>
          <w:rFonts w:ascii="Arial" w:cs="Arial" w:eastAsia="Arial" w:hAnsi="Arial"/>
          <w:sz w:val="18"/>
          <w:szCs w:val="18"/>
          <w:b w:val="1"/>
          <w:bCs w:val="1"/>
          <w:color w:val="231F20"/>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following discussion should be read in conjunction with the response to Part I, Item 1 of this report and the consolidated financial statements of the Company including the related notes and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("MD&amp;A") included in our 2018 Form 10-K. Capitalized terms used but not defined in this Form 10-Q have the same meaning given to them in our 2018 Form 10-K. Unless this Quarterly Report on Form 10-Q indicates otherwise or the context requires, the terms "we," "our," "our company," "the company," or "us" as used herein refer to CC Holdings GS V LLC and its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Overview</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own, lease or manage sites that are geographically dispersed throughout the United States. The vast majority of our site rental revenues is of a recurring nature and is subject to long-term contracts with our tenants.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Fundamentals and Results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business fundamentals and results as of and for the six months ended June 30, 2019.</w:t>
      </w:r>
    </w:p>
    <w:p>
      <w:pPr>
        <w:spacing w:after="0" w:line="23" w:lineRule="exact"/>
        <w:rPr>
          <w:sz w:val="20"/>
          <w:szCs w:val="20"/>
          <w:color w:val="auto"/>
        </w:rPr>
      </w:pP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growth resulting from the increasing demand for wireless data</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We expect U.S. wireless carriers will continue their focus on improving network quality and expanding capacity (including through 5G initiatives) by adding additional antennas or other equipment on our towers.</w:t>
      </w:r>
    </w:p>
    <w:p>
      <w:pPr>
        <w:jc w:val="both"/>
        <w:ind w:left="1220" w:hanging="402"/>
        <w:spacing w:after="0" w:line="250"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We expect existing and potential new tenant demand for our towers will result from (1) new technologies, (2) increased usage of mobile entertainment, mobile internet usage and machine-to-machine applications, (3) adoption of other emerging and embedded wireless devices (including laptops, tablets, wearables and other devices), (4) increasing smartphone penetration, (5) wireless carrier focus on expanding both network quality and capacity and (6) the availability of additional spectrum.</w:t>
      </w:r>
    </w:p>
    <w:p>
      <w:pPr>
        <w:spacing w:after="0" w:line="1"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Substantially all of our towers can accommodate additional tenancy, either as currently constructed or with appropriate modifications to the structure (which may include extensions or structural reinforcement).</w:t>
      </w: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Organizational structure</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For U.S. federal income tax purposes, CCIC operates as a REIT and, as its indirect subsidiary, our assets and operations are included in the</w:t>
      </w:r>
    </w:p>
    <w:p>
      <w:pPr>
        <w:spacing w:after="0" w:line="32"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8"/>
          <w:szCs w:val="18"/>
          <w:color w:val="auto"/>
        </w:rPr>
        <w:t>CCIC REIT.</w:t>
      </w:r>
    </w:p>
    <w:p>
      <w:pPr>
        <w:spacing w:after="0" w:line="9" w:lineRule="exact"/>
        <w:rPr>
          <w:rFonts w:ascii="Arial" w:cs="Arial" w:eastAsia="Arial" w:hAnsi="Arial"/>
          <w:sz w:val="16"/>
          <w:szCs w:val="16"/>
          <w:color w:val="auto"/>
        </w:rPr>
      </w:pPr>
    </w:p>
    <w:p>
      <w:pPr>
        <w:ind w:left="1220" w:hanging="402"/>
        <w:spacing w:after="0" w:line="250"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were organized specifically to own, lease and manage certain communications infrastructure, such as towers or other structures, and have no employees.</w:t>
      </w:r>
    </w:p>
    <w:p>
      <w:pPr>
        <w:ind w:left="1220" w:hanging="402"/>
        <w:spacing w:after="0" w:line="281" w:lineRule="auto"/>
        <w:tabs>
          <w:tab w:leader="none" w:pos="12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spacing w:after="0" w:line="1" w:lineRule="exact"/>
        <w:rPr>
          <w:rFonts w:ascii="Arial" w:cs="Arial" w:eastAsia="Arial" w:hAnsi="Arial"/>
          <w:sz w:val="16"/>
          <w:szCs w:val="16"/>
          <w:color w:val="auto"/>
        </w:rPr>
      </w:pP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Site rental revenues under long-term tenant contracts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Initial terms of five to 15 years for site rental revenues derived from tenants, with contractual escalations and multiple renewal periods at the option of the tenant of five to 10 years each.</w:t>
      </w:r>
    </w:p>
    <w:p>
      <w:pPr>
        <w:jc w:val="both"/>
        <w:ind w:left="1220" w:hanging="402"/>
        <w:spacing w:after="0" w:line="250"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weighted-average remaining term (calculated by weighting the remaining term for each contract by the related site rental revenue) of approximately six years, exclusive of renewals at the tenants' option, currently representing approximately $4.3 billion of expected future cash inflows.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Majority of our revenues from large wireless carriers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91% of our site rental revenues were derived from Sprint, AT&amp;T, T-Mobile and Verizon Wireless.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Majority of land interests under our towers under long-term control</w:t>
      </w:r>
    </w:p>
    <w:p>
      <w:pPr>
        <w:spacing w:after="0" w:line="9" w:lineRule="exact"/>
        <w:rPr>
          <w:rFonts w:ascii="Arial" w:cs="Arial" w:eastAsia="Arial" w:hAnsi="Arial"/>
          <w:sz w:val="18"/>
          <w:szCs w:val="18"/>
          <w:color w:val="auto"/>
        </w:rPr>
      </w:pPr>
    </w:p>
    <w:p>
      <w:pPr>
        <w:ind w:left="1220" w:hanging="402"/>
        <w:spacing w:after="0" w:line="281" w:lineRule="auto"/>
        <w:tabs>
          <w:tab w:leader="none" w:pos="12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More than 80% and more than 50% of our sites are under our control for greater than 10 and 20 years, respectively. The aforementioned percentages include towers that reside on land interests that are owned by us, including fee interests and perpetual easements.</w:t>
      </w:r>
    </w:p>
    <w:p>
      <w:pPr>
        <w:spacing w:after="0" w:line="1" w:lineRule="exact"/>
        <w:rPr>
          <w:rFonts w:ascii="Arial" w:cs="Arial" w:eastAsia="Arial" w:hAnsi="Arial"/>
          <w:sz w:val="16"/>
          <w:szCs w:val="16"/>
          <w:color w:val="auto"/>
        </w:rPr>
      </w:pPr>
    </w:p>
    <w:p>
      <w:pPr>
        <w:jc w:val="both"/>
        <w:ind w:left="1220" w:hanging="402"/>
        <w:spacing w:after="0" w:line="250"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22% of our site rental cost of operations represents ground lease payments to our affiliates. Such affiliates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Relatively fixed tower operating costs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Our operating costs tend to escalate at approximately the rate of inflation and are not typically influenced by tenant additions or non-renewals.</w:t>
      </w: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Sustaining capital expenditures represented approximately 1% of site rental revenues.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4" w:name="page15"/>
    <w:bookmarkEnd w:id="14"/>
    <w:p>
      <w:pPr>
        <w:ind w:left="820" w:hanging="407"/>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Fixed rate debt with no short-term maturities</w:t>
      </w:r>
    </w:p>
    <w:p>
      <w:pPr>
        <w:spacing w:after="0" w:line="23"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Our debt consists of $1.0 billion aggregate principal amount of 3.849% Secured Notes. See note 3 to our condensed consolidated financial statements.</w:t>
      </w:r>
    </w:p>
    <w:p>
      <w:pPr>
        <w:ind w:left="820" w:hanging="407"/>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Net cash provided by operating activities was $184.4 million. See </w:t>
      </w:r>
      <w:r>
        <w:rPr>
          <w:rFonts w:ascii="Arial" w:cs="Arial" w:eastAsia="Arial" w:hAnsi="Arial"/>
          <w:sz w:val="18"/>
          <w:szCs w:val="18"/>
          <w:i w:val="1"/>
          <w:iCs w:val="1"/>
          <w:color w:val="auto"/>
        </w:rPr>
        <w:t>"Item 2. MD&amp;A—Liquidity and Capital Resources."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following discussion of our results of operations should be read in conjunction with our condensed consolidated financial statements and our 2018 Form 10-K. The following discussion of our results of operations is based on our condensed consolidated financial statements prepared in accordance with GAAP which requires us to make estimates and judgments that affect the reported amounts. See </w:t>
      </w:r>
      <w:r>
        <w:rPr>
          <w:rFonts w:ascii="Arial" w:cs="Arial" w:eastAsia="Arial" w:hAnsi="Arial"/>
          <w:sz w:val="18"/>
          <w:szCs w:val="18"/>
          <w:i w:val="1"/>
          <w:iCs w:val="1"/>
          <w:color w:val="auto"/>
        </w:rPr>
        <w:t>"Item 2. MD&amp;A—Accounting and Reporting Matters—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Critical Accounting Policies and Estimates" </w:t>
      </w:r>
      <w:r>
        <w:rPr>
          <w:rFonts w:ascii="Arial" w:cs="Arial" w:eastAsia="Arial" w:hAnsi="Arial"/>
          <w:sz w:val="18"/>
          <w:szCs w:val="18"/>
          <w:color w:val="auto"/>
        </w:rPr>
        <w:t>herein and note 2 to our 2018 Form 10-K.</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Highlights of our results of operations for the three months ended June 30, 2019 and 2018 are depicted below.</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Three Months Ended June</w:t>
            </w:r>
          </w:p>
        </w:tc>
        <w:tc>
          <w:tcPr>
            <w:tcW w:w="220" w:type="dxa"/>
            <w:vAlign w:val="bottom"/>
          </w:tcPr>
          <w:p>
            <w:pPr>
              <w:spacing w:after="0"/>
              <w:rPr>
                <w:sz w:val="14"/>
                <w:szCs w:val="14"/>
                <w:color w:val="auto"/>
              </w:rPr>
            </w:pPr>
          </w:p>
        </w:tc>
        <w:tc>
          <w:tcPr>
            <w:tcW w:w="1120" w:type="dxa"/>
            <w:vAlign w:val="bottom"/>
          </w:tcPr>
          <w:p>
            <w:pPr>
              <w:jc w:val="right"/>
              <w:ind w:right="243"/>
              <w:spacing w:after="0"/>
              <w:rPr>
                <w:sz w:val="20"/>
                <w:szCs w:val="20"/>
                <w:color w:val="auto"/>
              </w:rPr>
            </w:pPr>
            <w:r>
              <w:rPr>
                <w:rFonts w:ascii="Arial" w:cs="Arial" w:eastAsia="Arial" w:hAnsi="Arial"/>
                <w:sz w:val="14"/>
                <w:szCs w:val="14"/>
                <w:b w:val="1"/>
                <w:bCs w:val="1"/>
                <w:color w:val="auto"/>
              </w:rPr>
              <w:t>Percent</w:t>
            </w:r>
          </w:p>
        </w:tc>
      </w:tr>
      <w:tr>
        <w:trPr>
          <w:trHeight w:val="192"/>
        </w:trPr>
        <w:tc>
          <w:tcPr>
            <w:tcW w:w="6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30, 2019</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w w:val="95"/>
              </w:rPr>
              <w:t>30, 2018</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Change</w:t>
            </w:r>
          </w:p>
        </w:tc>
      </w:tr>
      <w:tr>
        <w:trPr>
          <w:trHeight w:val="264"/>
        </w:trPr>
        <w:tc>
          <w:tcPr>
            <w:tcW w:w="6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168,189</w:t>
            </w: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4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164,056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70"/>
        </w:trPr>
        <w:tc>
          <w:tcPr>
            <w:tcW w:w="6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6220" w:type="dxa"/>
            <w:vAlign w:val="bottom"/>
          </w:tcPr>
          <w:p>
            <w:pPr>
              <w:ind w:left="2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(a)(b)</w:t>
            </w:r>
          </w:p>
        </w:tc>
        <w:tc>
          <w:tcPr>
            <w:tcW w:w="38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49,245</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48,055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70"/>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Management fee</w:t>
            </w:r>
            <w:r>
              <w:rPr>
                <w:rFonts w:ascii="Arial" w:cs="Arial" w:eastAsia="Arial" w:hAnsi="Arial"/>
                <w:sz w:val="21"/>
                <w:szCs w:val="21"/>
                <w:color w:val="auto"/>
                <w:vertAlign w:val="superscript"/>
              </w:rPr>
              <w:t>(b)</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12,503</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12,031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37"/>
        </w:trPr>
        <w:tc>
          <w:tcPr>
            <w:tcW w:w="6220" w:type="dxa"/>
            <w:vAlign w:val="bottom"/>
          </w:tcPr>
          <w:p>
            <w:pPr>
              <w:ind w:left="20"/>
              <w:spacing w:after="0"/>
              <w:rPr>
                <w:sz w:val="20"/>
                <w:szCs w:val="20"/>
                <w:color w:val="auto"/>
              </w:rPr>
            </w:pPr>
            <w:r>
              <w:rPr>
                <w:rFonts w:ascii="Arial" w:cs="Arial" w:eastAsia="Arial" w:hAnsi="Arial"/>
                <w:sz w:val="16"/>
                <w:szCs w:val="16"/>
                <w:color w:val="auto"/>
              </w:rPr>
              <w:t>Asset write-down charges</w:t>
            </w: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185</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23"/>
              <w:spacing w:after="0"/>
              <w:rPr>
                <w:sz w:val="20"/>
                <w:szCs w:val="20"/>
                <w:color w:val="auto"/>
              </w:rPr>
            </w:pPr>
            <w:r>
              <w:rPr>
                <w:rFonts w:ascii="Arial" w:cs="Arial" w:eastAsia="Arial" w:hAnsi="Arial"/>
                <w:sz w:val="16"/>
                <w:szCs w:val="16"/>
                <w:color w:val="auto"/>
              </w:rPr>
              <w:t>*</w:t>
            </w:r>
          </w:p>
        </w:tc>
      </w:tr>
      <w:tr>
        <w:trPr>
          <w:trHeight w:val="33"/>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amortization and accretion</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52,409</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52,731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6220" w:type="dxa"/>
            <w:vAlign w:val="bottom"/>
          </w:tcPr>
          <w:p>
            <w:pPr>
              <w:ind w:left="70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114,342</w:t>
            </w: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112,817</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1 %</w:t>
            </w:r>
          </w:p>
        </w:tc>
      </w:tr>
      <w:tr>
        <w:trPr>
          <w:trHeight w:val="33"/>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53,847</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51,239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37"/>
        </w:trPr>
        <w:tc>
          <w:tcPr>
            <w:tcW w:w="6220" w:type="dxa"/>
            <w:vAlign w:val="bottom"/>
          </w:tcPr>
          <w:p>
            <w:pPr>
              <w:ind w:left="20"/>
              <w:spacing w:after="0"/>
              <w:rPr>
                <w:sz w:val="20"/>
                <w:szCs w:val="20"/>
                <w:color w:val="auto"/>
              </w:rPr>
            </w:pPr>
            <w:r>
              <w:rPr>
                <w:rFonts w:ascii="Arial" w:cs="Arial" w:eastAsia="Arial" w:hAnsi="Arial"/>
                <w:sz w:val="16"/>
                <w:szCs w:val="16"/>
                <w:color w:val="auto"/>
              </w:rPr>
              <w:t>Interest expense and amortization of deferred financing costs</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(9,968)</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(9,968)</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r>
      <w:tr>
        <w:trPr>
          <w:trHeight w:val="217"/>
        </w:trPr>
        <w:tc>
          <w:tcPr>
            <w:tcW w:w="62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3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44,167</w:t>
            </w: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41,311</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r>
      <w:tr>
        <w:trPr>
          <w:trHeight w:val="244"/>
        </w:trPr>
        <w:tc>
          <w:tcPr>
            <w:tcW w:w="62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44,060</w:t>
            </w:r>
          </w:p>
        </w:tc>
        <w:tc>
          <w:tcPr>
            <w:tcW w:w="22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41,218</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
        </w:trPr>
        <w:tc>
          <w:tcPr>
            <w:tcW w:w="6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Percentage not meaningful</w:t>
      </w:r>
    </w:p>
    <w:p>
      <w:pPr>
        <w:spacing w:after="0" w:line="1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Inclusive of related party transactions.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June</w:t>
            </w:r>
          </w:p>
        </w:tc>
        <w:tc>
          <w:tcPr>
            <w:tcW w:w="100" w:type="dxa"/>
            <w:vAlign w:val="bottom"/>
          </w:tcPr>
          <w:p>
            <w:pPr>
              <w:spacing w:after="0"/>
              <w:rPr>
                <w:sz w:val="14"/>
                <w:szCs w:val="14"/>
                <w:color w:val="auto"/>
              </w:rPr>
            </w:pPr>
          </w:p>
        </w:tc>
        <w:tc>
          <w:tcPr>
            <w:tcW w:w="1580" w:type="dxa"/>
            <w:vAlign w:val="bottom"/>
          </w:tcPr>
          <w:p>
            <w:pPr>
              <w:jc w:val="right"/>
              <w:ind w:right="20"/>
              <w:spacing w:after="0"/>
              <w:rPr>
                <w:sz w:val="20"/>
                <w:szCs w:val="20"/>
                <w:color w:val="auto"/>
              </w:rPr>
            </w:pPr>
            <w:r>
              <w:rPr>
                <w:rFonts w:ascii="Arial" w:cs="Arial" w:eastAsia="Arial" w:hAnsi="Arial"/>
                <w:sz w:val="14"/>
                <w:szCs w:val="14"/>
                <w:b w:val="1"/>
                <w:bCs w:val="1"/>
                <w:color w:val="auto"/>
                <w:w w:val="92"/>
              </w:rPr>
              <w:t>Six Months Ended June</w:t>
            </w:r>
          </w:p>
        </w:tc>
        <w:tc>
          <w:tcPr>
            <w:tcW w:w="220" w:type="dxa"/>
            <w:vAlign w:val="bottom"/>
          </w:tcPr>
          <w:p>
            <w:pPr>
              <w:spacing w:after="0"/>
              <w:rPr>
                <w:sz w:val="14"/>
                <w:szCs w:val="14"/>
                <w:color w:val="auto"/>
              </w:rPr>
            </w:pPr>
          </w:p>
        </w:tc>
        <w:tc>
          <w:tcPr>
            <w:tcW w:w="1120" w:type="dxa"/>
            <w:vAlign w:val="bottom"/>
          </w:tcPr>
          <w:p>
            <w:pPr>
              <w:jc w:val="right"/>
              <w:ind w:right="243"/>
              <w:spacing w:after="0"/>
              <w:rPr>
                <w:sz w:val="20"/>
                <w:szCs w:val="20"/>
                <w:color w:val="auto"/>
              </w:rPr>
            </w:pPr>
            <w:r>
              <w:rPr>
                <w:rFonts w:ascii="Arial" w:cs="Arial" w:eastAsia="Arial" w:hAnsi="Arial"/>
                <w:sz w:val="14"/>
                <w:szCs w:val="14"/>
                <w:b w:val="1"/>
                <w:bCs w:val="1"/>
                <w:color w:val="auto"/>
              </w:rPr>
              <w:t>Percent</w:t>
            </w:r>
          </w:p>
        </w:tc>
      </w:tr>
      <w:tr>
        <w:trPr>
          <w:trHeight w:val="192"/>
        </w:trPr>
        <w:tc>
          <w:tcPr>
            <w:tcW w:w="6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30, 2019</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30, 2018</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Change</w:t>
            </w:r>
          </w:p>
        </w:tc>
      </w:tr>
      <w:tr>
        <w:trPr>
          <w:trHeight w:val="264"/>
        </w:trPr>
        <w:tc>
          <w:tcPr>
            <w:tcW w:w="6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8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335,511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327,050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84"/>
        </w:trPr>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6500" w:type="dxa"/>
            <w:vAlign w:val="bottom"/>
          </w:tcPr>
          <w:p>
            <w:pPr>
              <w:ind w:left="4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(a)(b)</w:t>
            </w:r>
          </w:p>
        </w:tc>
        <w:tc>
          <w:tcPr>
            <w:tcW w:w="100" w:type="dxa"/>
            <w:vAlign w:val="bottom"/>
          </w:tcPr>
          <w:p>
            <w:pPr>
              <w:spacing w:after="0"/>
              <w:rPr>
                <w:sz w:val="23"/>
                <w:szCs w:val="23"/>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97,136</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95,168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Management fee</w:t>
            </w:r>
            <w:r>
              <w:rPr>
                <w:rFonts w:ascii="Arial" w:cs="Arial" w:eastAsia="Arial" w:hAnsi="Arial"/>
                <w:sz w:val="21"/>
                <w:szCs w:val="21"/>
                <w:color w:val="auto"/>
                <w:vertAlign w:val="superscript"/>
              </w:rPr>
              <w:t>(b)</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24,627</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24,020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37"/>
        </w:trPr>
        <w:tc>
          <w:tcPr>
            <w:tcW w:w="6500" w:type="dxa"/>
            <w:vAlign w:val="bottom"/>
          </w:tcPr>
          <w:p>
            <w:pPr>
              <w:ind w:left="40"/>
              <w:spacing w:after="0"/>
              <w:rPr>
                <w:sz w:val="20"/>
                <w:szCs w:val="20"/>
                <w:color w:val="auto"/>
              </w:rPr>
            </w:pPr>
            <w:r>
              <w:rPr>
                <w:rFonts w:ascii="Arial" w:cs="Arial" w:eastAsia="Arial" w:hAnsi="Arial"/>
                <w:sz w:val="16"/>
                <w:szCs w:val="16"/>
                <w:color w:val="auto"/>
              </w:rPr>
              <w:t>Asset write-down charges</w:t>
            </w:r>
          </w:p>
        </w:tc>
        <w:tc>
          <w:tcPr>
            <w:tcW w:w="10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375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344</w:t>
            </w:r>
          </w:p>
        </w:tc>
        <w:tc>
          <w:tcPr>
            <w:tcW w:w="1340" w:type="dxa"/>
            <w:vAlign w:val="bottom"/>
            <w:gridSpan w:val="2"/>
          </w:tcPr>
          <w:p>
            <w:pPr>
              <w:jc w:val="right"/>
              <w:ind w:right="143"/>
              <w:spacing w:after="0"/>
              <w:rPr>
                <w:sz w:val="20"/>
                <w:szCs w:val="20"/>
                <w:color w:val="auto"/>
              </w:rPr>
            </w:pPr>
            <w:r>
              <w:rPr>
                <w:rFonts w:ascii="Arial" w:cs="Arial" w:eastAsia="Arial" w:hAnsi="Arial"/>
                <w:sz w:val="16"/>
                <w:szCs w:val="16"/>
                <w:color w:val="auto"/>
              </w:rPr>
              <w:t>*</w:t>
            </w:r>
          </w:p>
        </w:tc>
      </w:tr>
      <w:tr>
        <w:trPr>
          <w:trHeight w:val="33"/>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104,771</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105,432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6500" w:type="dxa"/>
            <w:vAlign w:val="bottom"/>
          </w:tcPr>
          <w:p>
            <w:pPr>
              <w:ind w:left="72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226,909</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224,964</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1 %</w:t>
            </w:r>
          </w:p>
        </w:tc>
      </w:tr>
      <w:tr>
        <w:trPr>
          <w:trHeight w:val="33"/>
        </w:trPr>
        <w:tc>
          <w:tcPr>
            <w:tcW w:w="6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108,602</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102,086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37"/>
        </w:trPr>
        <w:tc>
          <w:tcPr>
            <w:tcW w:w="6500" w:type="dxa"/>
            <w:vAlign w:val="bottom"/>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(19,937)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(19,937)</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285</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r>
      <w:tr>
        <w:trPr>
          <w:trHeight w:val="217"/>
        </w:trPr>
        <w:tc>
          <w:tcPr>
            <w:tcW w:w="650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88,950</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82,122</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r>
      <w:tr>
        <w:trPr>
          <w:trHeight w:val="244"/>
        </w:trPr>
        <w:tc>
          <w:tcPr>
            <w:tcW w:w="650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88,745</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81,936</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Percentage not meaningful</w:t>
      </w:r>
    </w:p>
    <w:p>
      <w:pPr>
        <w:spacing w:after="0" w:line="1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Inclusive of related party transactions.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Second Quarter 2019 and 2018</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Site rental revenues for the three months ended June 30, 2019 increased by $4.1 million, or 3%, from the same period in the prior year. Site rental revenues were impacted by the following items, inclusive of straight-line accounting: tenant additions across our entire portfolio, renewals or extensions of tenant contracts, escalations and non-renewals of tenant contracts. Tenant additions were influenced by our tenants' ongoing efforts to improve network quality and capacity. See also </w:t>
      </w:r>
      <w:r>
        <w:rPr>
          <w:rFonts w:ascii="Arial" w:cs="Arial" w:eastAsia="Arial" w:hAnsi="Arial"/>
          <w:sz w:val="18"/>
          <w:szCs w:val="18"/>
          <w:i w:val="1"/>
          <w:iCs w:val="1"/>
          <w:color w:val="auto"/>
        </w:rPr>
        <w:t>"Item 2. MD&amp;A—General Overview"</w:t>
      </w:r>
      <w:r>
        <w:rPr>
          <w:rFonts w:ascii="Arial" w:cs="Arial" w:eastAsia="Arial" w:hAnsi="Arial"/>
          <w:sz w:val="18"/>
          <w:szCs w:val="18"/>
          <w:color w:val="auto"/>
        </w:rPr>
        <w:t xml:space="preserve"> and our 2018 Form 10-K for further discussion regarding our tenants' decommissioning of the Acquired Networks.</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Operating income for the three months ended June 30, 2019 increased by $2.6 million, or 5%, from the same period in the prior year. The increase in operating income was primarily due to the aforementioned increase in site rental revenues, partially offset by an increase in the cost of operations from the three months ended June 30, 2018.</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and amortization of deferred financing costs for the three months ended June 30, 2019 remained unchanged from the same period in the prior year.</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Net income for the three months ended June 30, 2019 was $44.1 million, compared to net income of $41.2 million for the three months ended June 30, 2018. The increase was primarily due to the aforementioned increase in site rental revenues.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First Six Months 2019 and 2018</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Site rental revenues for the six months ended June 30, 2019 increased by $8.5 million, or 3%, from the same period in the prior year. The increase in site rental revenues was impacted by the following items, inclusive of straight-line accounting: new tenant additions across our entire portfolio, renewals or extensions of tenant leases, escalations and non-renewal of tenant contracts. Tenant additions were influenced by our tenants' ongoing efforts to improve network quality and capacity. See also </w:t>
      </w:r>
      <w:r>
        <w:rPr>
          <w:rFonts w:ascii="Arial" w:cs="Arial" w:eastAsia="Arial" w:hAnsi="Arial"/>
          <w:sz w:val="18"/>
          <w:szCs w:val="18"/>
          <w:i w:val="1"/>
          <w:iCs w:val="1"/>
          <w:color w:val="auto"/>
        </w:rPr>
        <w:t>"Item 2. MD&amp;A—General Overview"</w:t>
      </w:r>
      <w:r>
        <w:rPr>
          <w:rFonts w:ascii="Arial" w:cs="Arial" w:eastAsia="Arial" w:hAnsi="Arial"/>
          <w:sz w:val="18"/>
          <w:szCs w:val="18"/>
          <w:color w:val="auto"/>
        </w:rPr>
        <w:t xml:space="preserve"> and our 2018 Form 10-K for further discussion regarding our tenants' decommissioning of the Acquired Networks.</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Operating income for the six months ended June 30, 2019 increased by $6.5 million, or 6%, from the same period in the prior year. The increase in operating income was predominately due to the aforementioned increase in site rental revenues, partially offset by an increase in the cost of operations from the six months ended June 30, 2018.</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and amortization of deferred financing costs for the six months ended June 30, 2019 remained unchanged from the same period in the prior year.</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income for the six months ended June 30, 2019 was $88.7 million compared to net income of $81.9 million for the six months ended June 30,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due primarily to the aforementioned increase in site rental revenues.</w:t>
      </w:r>
    </w:p>
    <w:p>
      <w:pPr>
        <w:sectPr>
          <w:pgSz w:w="11900" w:h="16838" w:orient="portrait"/>
          <w:cols w:equalWidth="0" w:num="1">
            <w:col w:w="11420"/>
          </w:cols>
          <w:pgMar w:left="240" w:top="510"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10"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Our core business generates revenues under long-term contracts (See</w:t>
      </w:r>
      <w:r>
        <w:rPr>
          <w:rFonts w:ascii="Arial" w:cs="Arial" w:eastAsia="Arial" w:hAnsi="Arial"/>
          <w:sz w:val="18"/>
          <w:szCs w:val="18"/>
          <w:i w:val="1"/>
          <w:iCs w:val="1"/>
          <w:color w:val="auto"/>
        </w:rPr>
        <w:t xml:space="preserve"> "Item 2. MD&amp;A—General Overview"</w:t>
      </w:r>
      <w:r>
        <w:rPr>
          <w:rFonts w:ascii="Arial" w:cs="Arial" w:eastAsia="Arial" w:hAnsi="Arial"/>
          <w:sz w:val="18"/>
          <w:szCs w:val="18"/>
          <w:color w:val="auto"/>
        </w:rPr>
        <w:t>), from the largest U.S.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carriers. Historically, our net cash provided by operating activities has exceeded our capital expenditures. For the foreseeable future, we expect to generate net cash provided by operating activities (exclusive of movements in working capital) that exceeds our capital expenditures. We seek to allocate the net cash generated from our business in a manner that we believe drives value for our member.</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From a cash management perspective, we currently distribute cash on hand above amounts required pursuant to the Management Agreement to our member. If any future event would occur that would leave us with a deficiency in our operating cash flow, while not required, CCIC may contribute cash back to us.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REIT for U.S. federal income tax purposes. For U.S. federal income tax purposes, our assets and operations are included in the CCIC REIT. We expect to continue to pay minimal cash income taxes as a result of CCIC's REIT status and NOLs.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June 30, 2019:</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860" w:type="dxa"/>
            <w:vAlign w:val="bottom"/>
          </w:tcPr>
          <w:p>
            <w:pPr>
              <w:jc w:val="right"/>
              <w:ind w:right="601"/>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40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17,679</w:t>
            </w:r>
          </w:p>
        </w:tc>
      </w:tr>
      <w:tr>
        <w:trPr>
          <w:trHeight w:val="224"/>
        </w:trPr>
        <w:tc>
          <w:tcPr>
            <w:tcW w:w="5440" w:type="dxa"/>
            <w:vAlign w:val="bottom"/>
          </w:tcPr>
          <w:p>
            <w:pPr>
              <w:ind w:left="20"/>
              <w:spacing w:after="0"/>
              <w:rPr>
                <w:sz w:val="20"/>
                <w:szCs w:val="20"/>
                <w:color w:val="auto"/>
              </w:rPr>
            </w:pPr>
            <w:r>
              <w:rPr>
                <w:rFonts w:ascii="Arial" w:cs="Arial" w:eastAsia="Arial" w:hAnsi="Arial"/>
                <w:sz w:val="16"/>
                <w:szCs w:val="16"/>
                <w:color w:val="auto"/>
              </w:rPr>
              <w:t>Debt</w:t>
            </w:r>
          </w:p>
        </w:tc>
        <w:tc>
          <w:tcPr>
            <w:tcW w:w="408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994,739</w:t>
            </w:r>
          </w:p>
        </w:tc>
      </w:tr>
      <w:tr>
        <w:trPr>
          <w:trHeight w:val="33"/>
        </w:trPr>
        <w:tc>
          <w:tcPr>
            <w:tcW w:w="54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member's equity</w:t>
            </w:r>
          </w:p>
        </w:tc>
        <w:tc>
          <w:tcPr>
            <w:tcW w:w="40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2,377,756</w:t>
            </w:r>
          </w:p>
        </w:tc>
      </w:tr>
      <w:tr>
        <w:trPr>
          <w:trHeight w:val="33"/>
        </w:trPr>
        <w:tc>
          <w:tcPr>
            <w:tcW w:w="544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Over the next 12 months:</w:t>
      </w:r>
    </w:p>
    <w:p>
      <w:pPr>
        <w:spacing w:after="0" w:line="117" w:lineRule="exact"/>
        <w:rPr>
          <w:sz w:val="20"/>
          <w:szCs w:val="20"/>
          <w:color w:val="auto"/>
        </w:rPr>
      </w:pPr>
    </w:p>
    <w:p>
      <w:pPr>
        <w:ind w:left="820" w:hanging="407"/>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expect that our net cash provided by operating activities should be sufficient to cover our expected capital expenditures.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no scheduled contractual debt maturities.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to our condensed consolidated financial statements for additional information regarding our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Summary Cash Flow Information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562"/>
              <w:spacing w:after="0"/>
              <w:rPr>
                <w:sz w:val="20"/>
                <w:szCs w:val="20"/>
                <w:color w:val="auto"/>
              </w:rPr>
            </w:pPr>
            <w:r>
              <w:rPr>
                <w:rFonts w:ascii="Arial" w:cs="Arial" w:eastAsia="Arial" w:hAnsi="Arial"/>
                <w:sz w:val="14"/>
                <w:szCs w:val="14"/>
                <w:b w:val="1"/>
                <w:bCs w:val="1"/>
                <w:color w:val="auto"/>
                <w:w w:val="92"/>
              </w:rPr>
              <w:t>Six Months Ended June 30,</w:t>
            </w:r>
          </w:p>
        </w:tc>
        <w:tc>
          <w:tcPr>
            <w:tcW w:w="90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Change</w:t>
            </w:r>
          </w:p>
        </w:tc>
      </w:tr>
      <w:tr>
        <w:trPr>
          <w:trHeight w:val="196"/>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for):</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37"/>
        </w:trPr>
        <w:tc>
          <w:tcPr>
            <w:tcW w:w="7540" w:type="dxa"/>
            <w:vAlign w:val="bottom"/>
          </w:tcPr>
          <w:p>
            <w:pPr>
              <w:ind w:left="50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184,416</w:t>
            </w:r>
          </w:p>
        </w:tc>
        <w:tc>
          <w:tcPr>
            <w:tcW w:w="120" w:type="dxa"/>
            <w:vAlign w:val="bottom"/>
          </w:tcPr>
          <w:p>
            <w:pPr>
              <w:spacing w:after="0"/>
              <w:rPr>
                <w:sz w:val="20"/>
                <w:szCs w:val="20"/>
                <w:color w:val="auto"/>
              </w:rPr>
            </w:pP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182,921</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1,495</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(9,050)</w:t>
            </w:r>
          </w:p>
        </w:tc>
      </w:tr>
      <w:tr>
        <w:trPr>
          <w:trHeight w:val="237"/>
        </w:trPr>
        <w:tc>
          <w:tcPr>
            <w:tcW w:w="7540" w:type="dxa"/>
            <w:vAlign w:val="bottom"/>
          </w:tcPr>
          <w:p>
            <w:pPr>
              <w:ind w:left="50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(143,980)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(159,623)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15,643</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8,088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 in net cash provided by operating activities for the first six months of 2019 of $1.5 million, or 1%, from the first six months of 2018, was primarily due to growth in cash revenues, including cash escalations that are subject to straight-line accounting, offset by a net decrease from changes in working capital. Changes in working capital contribute to variability in net cash provided by operating activities, largely due to the timing of advanced payments by us and advanced receipts from tenants.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capital expenditures include the following:</w:t>
      </w:r>
    </w:p>
    <w:p>
      <w:pPr>
        <w:spacing w:after="0" w:line="63" w:lineRule="exact"/>
        <w:rPr>
          <w:sz w:val="20"/>
          <w:szCs w:val="20"/>
          <w:color w:val="auto"/>
        </w:rPr>
      </w:pPr>
    </w:p>
    <w:p>
      <w:pPr>
        <w:jc w:val="both"/>
        <w:ind w:left="1140" w:hanging="241"/>
        <w:spacing w:after="0" w:line="288" w:lineRule="auto"/>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Site improvement capital expenditures consist of improvements to existing sites to accommodate new leasing and typically vary based on, among other factors: (1) the type of site, (2) the scope, volume and mix of work performed on the site, (3) existing capacity prior to installation or (4) changes in structural engineering regulations and standards. Our decisions regarding capital expenditures are influenced by</w:t>
      </w:r>
    </w:p>
    <w:p>
      <w:pPr>
        <w:ind w:left="1140" w:firstLine="2"/>
        <w:spacing w:after="0" w:line="261" w:lineRule="auto"/>
        <w:tabs>
          <w:tab w:leader="none" w:pos="1411"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sufficient potential to enhance CCIC's long-term stockholder value, (2) CCIC's availability and cost of capital and (3) CCIC's expected returns on alternative uses of cash, such as payments of dividends and investments.</w:t>
      </w:r>
    </w:p>
    <w:p>
      <w:pPr>
        <w:spacing w:after="0" w:line="21" w:lineRule="exact"/>
        <w:rPr>
          <w:rFonts w:ascii="Arial" w:cs="Arial" w:eastAsia="Arial" w:hAnsi="Arial"/>
          <w:sz w:val="18"/>
          <w:szCs w:val="18"/>
          <w:color w:val="auto"/>
        </w:rPr>
      </w:pPr>
    </w:p>
    <w:p>
      <w:pPr>
        <w:ind w:left="1140" w:right="20" w:hanging="241"/>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Sustaining capital expenditures consist of maintenance capital expenditures on our sites that enable our tenants' ongoing quiet enjoyment of the site.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Capital expenditures for the six months ended June 30, 2019 and 2018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563"/>
              <w:spacing w:after="0"/>
              <w:rPr>
                <w:sz w:val="20"/>
                <w:szCs w:val="20"/>
                <w:color w:val="auto"/>
              </w:rPr>
            </w:pPr>
            <w:r>
              <w:rPr>
                <w:rFonts w:ascii="Arial" w:cs="Arial" w:eastAsia="Arial" w:hAnsi="Arial"/>
                <w:sz w:val="14"/>
                <w:szCs w:val="14"/>
                <w:b w:val="1"/>
                <w:bCs w:val="1"/>
                <w:color w:val="auto"/>
                <w:w w:val="92"/>
              </w:rPr>
              <w:t>Six Months Ended June 30,</w:t>
            </w:r>
          </w:p>
        </w:tc>
        <w:tc>
          <w:tcPr>
            <w:tcW w:w="90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Change</w:t>
            </w:r>
          </w:p>
        </w:tc>
      </w:tr>
      <w:tr>
        <w:trPr>
          <w:trHeight w:val="196"/>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improvements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38,055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28,751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9,304</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Sustaining</w:t>
            </w:r>
          </w:p>
        </w:tc>
        <w:tc>
          <w:tcPr>
            <w:tcW w:w="30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3,409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3,663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41,464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9,050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net cash flows used for financing activities for the six months ended June 30, 2019 and 2018 includes the impact from our continued practice of distributing excess cash to our member.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Secured Notes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See our 2018 Form 10-K for a discussion of the 2012 Secured Notes, debt restrictions and disclosures about market risk. There are no financial maintenance covenants in the Secured Notes Indenture. We are currently not restricted in our ability to incur additional indebtedness or distribute cash to affiliates or issue dividends to our member.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3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2019 are not intended to be a comprehensive list of our accounting policies and estimates. In many cases, the accounting treatment of a particular transaction is specifically dictated by GAAP, with no need for management's judgment. In other cases, management is required to exercise judgment in the application of accounting principles with respect to particular transactions. Our critical accounting policies and estimates as of December 31, 2018 are described in </w:t>
      </w:r>
      <w:r>
        <w:rPr>
          <w:rFonts w:ascii="Arial" w:cs="Arial" w:eastAsia="Arial" w:hAnsi="Arial"/>
          <w:sz w:val="16"/>
          <w:szCs w:val="16"/>
          <w:i w:val="1"/>
          <w:iCs w:val="1"/>
          <w:color w:val="auto"/>
        </w:rPr>
        <w:t>"Item 7. MD&amp;A—Accounting and Reporting Matters"</w:t>
      </w:r>
      <w:r>
        <w:rPr>
          <w:rFonts w:ascii="Arial" w:cs="Arial" w:eastAsia="Arial" w:hAnsi="Arial"/>
          <w:sz w:val="16"/>
          <w:szCs w:val="16"/>
          <w:color w:val="auto"/>
        </w:rPr>
        <w:t xml:space="preserve"> and in note 2 in our 2018 Form 10-K. See below for our updated critical accounting policies and estimates related to our lessee arrangements following the adoption of the new lease accounting guidance (commonly referred to as "ASC 842" or the "new lease standard") on January 1, 2019. See notes 2 and 8 to our condensed consolidated financial statements for further discussion and information related to the new lease standard.</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Lease Accounting</w:t>
      </w:r>
      <w:r>
        <w:rPr>
          <w:rFonts w:ascii="Arial" w:cs="Arial" w:eastAsia="Arial" w:hAnsi="Arial"/>
          <w:sz w:val="14"/>
          <w:szCs w:val="14"/>
          <w:color w:val="auto"/>
        </w:rPr>
        <w:t>—</w:t>
      </w:r>
      <w:r>
        <w:rPr>
          <w:rFonts w:ascii="Arial" w:cs="Arial" w:eastAsia="Arial" w:hAnsi="Arial"/>
          <w:sz w:val="18"/>
          <w:szCs w:val="18"/>
          <w:i w:val="1"/>
          <w:iCs w:val="1"/>
          <w:color w:val="auto"/>
        </w:rPr>
        <w:t>Lessee</w:t>
      </w:r>
    </w:p>
    <w:p>
      <w:pPr>
        <w:spacing w:after="0" w:line="18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lessee arrangements primarily consist of ground leases for land under our towers. Ground leases for land are specific to each site and are generally for an initial term of five to 10 years and are renewable (and cancelable after a notice period) at our option. We also enter into term easements and ground leases in which we prepay the entire term. The majority of our lease agreements have certain termination rights that provide for cancellation after a notice period and multiple renewal options at our option. When calculating the estimated lease term, we consider the economic penalty associated with our failure to renew our leases. We include certain renewal option periods in the lease term when we determine that the options are reasonably certain to be exercised.</w:t>
      </w:r>
    </w:p>
    <w:p>
      <w:pPr>
        <w:spacing w:after="0" w:line="10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Operating lease expense is recognized on a ratable basis, regardless of whether the payment terms require us to make payments annually, quarterly, monthly, or for the entire term in advance. Certain of our ground lease agreements contain fixed escalation clauses (such as fixed dollar or fixed percentage increases) or inflation-based escalation clauses (such as those tied to the change in CPI). If the payment terms include fixed escalator provisions, the effect of such increases is recognized on a straight-line basis. We calculate the straight-line expense over the contract's estimated lease term, including any renewal option periods that we deem reasonably certain to be exercised.</w:t>
      </w:r>
    </w:p>
    <w:p>
      <w:pPr>
        <w:spacing w:after="0" w:line="13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conjunction with the adoption of ASC 842, we recognized a right-of-use ("ROU") asset and lease liability for each of our operating leases. ROU assets represent our right to use an underlying asset for the lease term, and lease liabilities represent the present value of our future lease payments. In assessing our leases and determining our lease liability, we are not able to readily determine the rate implicit for our lessee arrangements and thus use CCIC's incremental borrowing rate on a collateralized basis to determine the present value of the lease payments. Our ROU assets are measured as the balance of the lease liability plus any prepaid or accrued lease payments plus any unamortized initial direct costs.</w:t>
      </w:r>
    </w:p>
    <w:p>
      <w:pPr>
        <w:spacing w:after="0" w:line="11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review the carrying value of our ROU assets for impairment, similar to our other long-lived assets, whenever events or changes in circumstances indicate that the carrying amounts may not be recoverable. We could record impairments in the future if there are changes in (1) long-term market conditions, (2) expected future operating results or (3) the utility of the assets that negatively impact the fair value of our ROU assets.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Recently Adopted Accounting Pronouncements. </w:t>
      </w:r>
      <w:r>
        <w:rPr>
          <w:rFonts w:ascii="Arial" w:cs="Arial" w:eastAsia="Arial" w:hAnsi="Arial"/>
          <w:sz w:val="18"/>
          <w:szCs w:val="18"/>
          <w:color w:val="auto"/>
        </w:rPr>
        <w:t>See note 2 to our condensed consolidated financial statements.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 Accounting Pronouncements Not Yet Adopted. </w:t>
      </w:r>
      <w:r>
        <w:rPr>
          <w:rFonts w:ascii="Arial" w:cs="Arial" w:eastAsia="Arial" w:hAnsi="Arial"/>
          <w:sz w:val="18"/>
          <w:szCs w:val="18"/>
          <w:color w:val="auto"/>
        </w:rPr>
        <w:t>See note 2 to our condensed consolidated financial statements.</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conducted an evaluation, under the supervision and with the participation of the Company's management, including the Company's Chief Executive Officer and Chief Financial Officer, of the effectiveness of the Company's disclosure controls and procedures as of the end of the period covered by this report. Based on this evaluation, the Chief Executive Officer and Chief Financial Officer concluded that the Company's disclosure controls and procedures were effective in alerting them in a timely manner to material information relating to the Company required to be included in the Company's periodic reports under the Securities Exchange Act of 1934, as amended.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covered by this report that have materially affected, or are reasonably likely to materially affect, the Company's internal control over financial reporting. Existing information technology systems, review processes, and internal controls have been updated to align with the requirements of the new lease standard, which we adopted on January 1, 2019.</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80"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II—OTHER INFORMATION</w:t>
      </w:r>
    </w:p>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the disclosure in note 7 to our condensed consolidated financial statements set forth in Part I, Item 1 of this Quarterly Report on Form 10-Q, which disclosure is hereby incorporated herein by reference.</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In Item 1A of our 2018 Form 10-K, we have previously included the risk factor captioned “</w:t>
      </w:r>
      <w:r>
        <w:rPr>
          <w:rFonts w:ascii="Arial" w:cs="Arial" w:eastAsia="Arial" w:hAnsi="Arial"/>
          <w:sz w:val="16"/>
          <w:szCs w:val="16"/>
          <w:b w:val="1"/>
          <w:bCs w:val="1"/>
          <w:i w:val="1"/>
          <w:iCs w:val="1"/>
          <w:color w:val="auto"/>
        </w:rPr>
        <w:t>A substantial portion of our revenues is derived from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small number of tenants, and the loss, consolidation or financial instability of any of such tenants may materially decrease revenues or reduce demand for our communications infrastructure and network services.</w:t>
      </w:r>
      <w:r>
        <w:rPr>
          <w:rFonts w:ascii="Arial" w:cs="Arial" w:eastAsia="Arial" w:hAnsi="Arial"/>
          <w:sz w:val="16"/>
          <w:szCs w:val="16"/>
          <w:color w:val="auto"/>
        </w:rPr>
        <w:t>” In light of the U.S. Department of Justice’s proposed settlement in July 2019 regarding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 between T-Mobile and Sprint, set forth below is certain updated information relating to that risk factor. You should carefully consider the information provided in this document and the risk factors contained in our 2018 Form 10-K, as updated by the information contained below.</w:t>
      </w:r>
    </w:p>
    <w:p>
      <w:pPr>
        <w:spacing w:after="0" w:line="158"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For the six months ended June 30, 2019, T-Mobile and Sprint represented approximately 21% and 34%, respectively, of the Company's consolidated site rental revenues. In addition, there is an average of approximately six years of current term remaining on all lease agreements with both T-Mobile and Sprint. Further, the Company derived approximately 18% and 15% of its consolidated site rental revenues from T-Mobile and Sprint, respectively, on communications infrastructure where both carriers currently reside, inclusive of an approximately 2% impact from previously disclosed expected non-renewals from the anticipated decommissioning of portions of T-Mobile's MetroPCS and Sprint's Clearwire networks.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400" w:type="dxa"/>
            <w:vAlign w:val="bottom"/>
            <w:gridSpan w:val="10"/>
          </w:tcPr>
          <w:p>
            <w:pPr>
              <w:ind w:left="380"/>
              <w:spacing w:after="0"/>
              <w:rPr>
                <w:sz w:val="20"/>
                <w:szCs w:val="20"/>
                <w:color w:val="auto"/>
              </w:rPr>
            </w:pPr>
            <w:r>
              <w:rPr>
                <w:rFonts w:ascii="Arial" w:cs="Arial" w:eastAsia="Arial" w:hAnsi="Arial"/>
                <w:sz w:val="18"/>
                <w:szCs w:val="18"/>
                <w:b w:val="1"/>
                <w:bCs w:val="1"/>
                <w:color w:val="auto"/>
              </w:rPr>
              <w:t>EXHIBITS</w:t>
            </w:r>
          </w:p>
        </w:tc>
      </w:tr>
      <w:tr>
        <w:trPr>
          <w:trHeight w:val="554"/>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140" w:type="dxa"/>
            <w:vAlign w:val="bottom"/>
            <w:gridSpan w:val="7"/>
          </w:tcPr>
          <w:p>
            <w:pPr>
              <w:spacing w:after="0"/>
              <w:rPr>
                <w:sz w:val="20"/>
                <w:szCs w:val="20"/>
                <w:color w:val="auto"/>
              </w:rPr>
            </w:pPr>
            <w:r>
              <w:rPr>
                <w:rFonts w:ascii="Arial" w:cs="Arial" w:eastAsia="Arial" w:hAnsi="Arial"/>
                <w:sz w:val="18"/>
                <w:szCs w:val="18"/>
                <w:b w:val="1"/>
                <w:bCs w:val="1"/>
                <w:color w:val="auto"/>
              </w:rPr>
              <w:t>Exhibit Index</w:t>
            </w:r>
          </w:p>
        </w:tc>
      </w:tr>
      <w:tr>
        <w:trPr>
          <w:trHeight w:val="358"/>
        </w:trPr>
        <w:tc>
          <w:tcPr>
            <w:tcW w:w="920" w:type="dxa"/>
            <w:vAlign w:val="bottom"/>
            <w:gridSpan w:val="3"/>
          </w:tcPr>
          <w:p>
            <w:pPr>
              <w:ind w:left="40"/>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5080" w:type="dxa"/>
            <w:vAlign w:val="bottom"/>
            <w:gridSpan w:val="6"/>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c>
          <w:tcPr>
            <w:tcW w:w="4760" w:type="dxa"/>
            <w:vAlign w:val="bottom"/>
            <w:tcBorders>
              <w:bottom w:val="single" w:sz="8" w:color="0000FF"/>
            </w:tcBorders>
            <w:gridSpan w:val="4"/>
          </w:tcPr>
          <w:p>
            <w:pPr>
              <w:spacing w:after="0"/>
              <w:rPr>
                <w:rFonts w:ascii="Arial" w:cs="Arial" w:eastAsia="Arial" w:hAnsi="Arial"/>
                <w:sz w:val="18"/>
                <w:szCs w:val="18"/>
                <w:color w:val="0000FF"/>
                <w:w w:val="92"/>
              </w:rPr>
            </w:pPr>
            <w:hyperlink r:id="rId12">
              <w:r>
                <w:rPr>
                  <w:rFonts w:ascii="Arial" w:cs="Arial" w:eastAsia="Arial" w:hAnsi="Arial"/>
                  <w:sz w:val="18"/>
                  <w:szCs w:val="18"/>
                  <w:color w:val="0000FF"/>
                  <w:w w:val="92"/>
                </w:rPr>
                <w:t>Certificate of Formation, as amended, of CC Holdings GS V LLC</w:t>
              </w:r>
            </w:hyperlink>
          </w:p>
        </w:tc>
        <w:tc>
          <w:tcPr>
            <w:tcW w:w="4920" w:type="dxa"/>
            <w:vAlign w:val="bottom"/>
            <w:gridSpan w:val="5"/>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24"/>
                <w:szCs w:val="24"/>
                <w:color w:val="auto"/>
              </w:rPr>
            </w:pPr>
          </w:p>
        </w:tc>
        <w:tc>
          <w:tcPr>
            <w:tcW w:w="7140" w:type="dxa"/>
            <w:vAlign w:val="bottom"/>
            <w:tcBorders>
              <w:bottom w:val="single" w:sz="8" w:color="0000FF"/>
            </w:tcBorders>
            <w:gridSpan w:val="7"/>
          </w:tcPr>
          <w:p>
            <w:pPr>
              <w:spacing w:after="0"/>
              <w:rPr>
                <w:rFonts w:ascii="Arial" w:cs="Arial" w:eastAsia="Arial" w:hAnsi="Arial"/>
                <w:sz w:val="18"/>
                <w:szCs w:val="18"/>
                <w:color w:val="0000FF"/>
                <w:w w:val="92"/>
              </w:rPr>
            </w:pPr>
            <w:hyperlink r:id="rId13">
              <w:r>
                <w:rPr>
                  <w:rFonts w:ascii="Arial" w:cs="Arial" w:eastAsia="Arial" w:hAnsi="Arial"/>
                  <w:sz w:val="18"/>
                  <w:szCs w:val="18"/>
                  <w:color w:val="0000FF"/>
                  <w:w w:val="92"/>
                </w:rPr>
                <w:t>Second Amended and Restated Limited Liability Company Agreement of CC Holdings GS V LLC</w:t>
              </w:r>
            </w:hyperlink>
          </w:p>
        </w:tc>
        <w:tc>
          <w:tcPr>
            <w:tcW w:w="2540" w:type="dxa"/>
            <w:vAlign w:val="bottom"/>
            <w:gridSpan w:val="2"/>
          </w:tcPr>
          <w:p>
            <w:pPr>
              <w:spacing w:after="0"/>
              <w:rPr>
                <w:sz w:val="24"/>
                <w:szCs w:val="24"/>
                <w:color w:val="auto"/>
              </w:rPr>
            </w:pPr>
          </w:p>
        </w:tc>
      </w:tr>
      <w:tr>
        <w:trPr>
          <w:trHeight w:val="372"/>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9680" w:type="dxa"/>
            <w:vAlign w:val="bottom"/>
            <w:gridSpan w:val="9"/>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Certification of Chief Executive Officer pursuant to Section 302 of Sarbanes-Oxley Act of 2002</w:t>
              </w:r>
            </w:hyperlink>
          </w:p>
        </w:tc>
      </w:tr>
      <w:tr>
        <w:trPr>
          <w:trHeight w:val="372"/>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68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23">
              <w:r>
                <w:rPr>
                  <w:rFonts w:ascii="Arial" w:cs="Arial" w:eastAsia="Arial" w:hAnsi="Arial"/>
                  <w:sz w:val="18"/>
                  <w:szCs w:val="18"/>
                  <w:color w:val="0000FF"/>
                  <w:w w:val="92"/>
                </w:rPr>
                <w:t>Certification of Chief Financial Officer pursuant to Section 302 of Sarbanes-Oxley Act of 2002</w:t>
              </w:r>
            </w:hyperlink>
          </w:p>
        </w:tc>
        <w:tc>
          <w:tcPr>
            <w:tcW w:w="40" w:type="dxa"/>
            <w:vAlign w:val="bottom"/>
            <w:tcBorders>
              <w:top w:val="single" w:sz="8" w:color="0000FF"/>
            </w:tcBorders>
          </w:tcPr>
          <w:p>
            <w:pPr>
              <w:spacing w:after="0"/>
              <w:rPr>
                <w:sz w:val="24"/>
                <w:szCs w:val="24"/>
                <w:color w:val="auto"/>
              </w:rPr>
            </w:pPr>
          </w:p>
        </w:tc>
        <w:tc>
          <w:tcPr>
            <w:tcW w:w="2760" w:type="dxa"/>
            <w:vAlign w:val="bottom"/>
            <w:gridSpan w:val="3"/>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9680" w:type="dxa"/>
            <w:vAlign w:val="bottom"/>
            <w:gridSpan w:val="9"/>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Certification of Chief Executive Officer and Chief Financial Officer pursuant to Section 906 of Sarbanes-Oxley Act of 2002</w:t>
              </w:r>
            </w:hyperlink>
          </w:p>
        </w:tc>
      </w:tr>
      <w:tr>
        <w:trPr>
          <w:trHeight w:val="20"/>
        </w:trPr>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940" w:type="dxa"/>
            <w:vAlign w:val="bottom"/>
            <w:gridSpan w:val="8"/>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81"/>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4"/>
                <w:szCs w:val="24"/>
                <w:color w:val="auto"/>
              </w:rPr>
            </w:pPr>
          </w:p>
        </w:tc>
        <w:tc>
          <w:tcPr>
            <w:tcW w:w="9680" w:type="dxa"/>
            <w:vAlign w:val="bottom"/>
            <w:gridSpan w:val="9"/>
          </w:tcPr>
          <w:p>
            <w:pPr>
              <w:spacing w:after="0"/>
              <w:rPr>
                <w:sz w:val="20"/>
                <w:szCs w:val="20"/>
                <w:color w:val="auto"/>
              </w:rPr>
            </w:pPr>
            <w:r>
              <w:rPr>
                <w:rFonts w:ascii="Arial" w:cs="Arial" w:eastAsia="Arial" w:hAnsi="Arial"/>
                <w:sz w:val="17"/>
                <w:szCs w:val="17"/>
                <w:color w:val="auto"/>
                <w:w w:val="95"/>
              </w:rPr>
              <w:t>The following financial statements from CC Holdings GS V LLC's Quarterly Report on Form 10-Q for the quarter ended June 30, 2019,</w:t>
            </w: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9"/>
          </w:tcPr>
          <w:p>
            <w:pPr>
              <w:spacing w:after="0"/>
              <w:rPr>
                <w:sz w:val="20"/>
                <w:szCs w:val="20"/>
                <w:color w:val="auto"/>
              </w:rPr>
            </w:pPr>
            <w:r>
              <w:rPr>
                <w:rFonts w:ascii="Arial" w:cs="Arial" w:eastAsia="Arial" w:hAnsi="Arial"/>
                <w:sz w:val="17"/>
                <w:szCs w:val="17"/>
                <w:color w:val="auto"/>
                <w:w w:val="91"/>
              </w:rPr>
              <w:t>formatted in Inline XBRL: (i) Condensed Consolidated Balance Sheet, (ii) Condensed Consolidated Statement of Operations, (iii) Condensed</w:t>
            </w: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9"/>
          </w:tcPr>
          <w:p>
            <w:pPr>
              <w:spacing w:after="0"/>
              <w:rPr>
                <w:sz w:val="20"/>
                <w:szCs w:val="20"/>
                <w:color w:val="auto"/>
              </w:rPr>
            </w:pPr>
            <w:r>
              <w:rPr>
                <w:rFonts w:ascii="Arial" w:cs="Arial" w:eastAsia="Arial" w:hAnsi="Arial"/>
                <w:sz w:val="17"/>
                <w:szCs w:val="17"/>
                <w:color w:val="auto"/>
                <w:w w:val="90"/>
              </w:rPr>
              <w:t>Consolidated Statement of Cash Flows, (iv) Condensed Consolidated Statement of Changes of Member's Equity, and (v) Notes to Condensed</w:t>
            </w:r>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80" w:type="dxa"/>
            <w:vAlign w:val="bottom"/>
            <w:gridSpan w:val="9"/>
          </w:tcPr>
          <w:p>
            <w:pPr>
              <w:spacing w:after="0"/>
              <w:rPr>
                <w:sz w:val="20"/>
                <w:szCs w:val="20"/>
                <w:color w:val="auto"/>
              </w:rPr>
            </w:pPr>
            <w:r>
              <w:rPr>
                <w:rFonts w:ascii="Arial" w:cs="Arial" w:eastAsia="Arial" w:hAnsi="Arial"/>
                <w:sz w:val="17"/>
                <w:szCs w:val="17"/>
                <w:color w:val="auto"/>
              </w:rPr>
              <w:t>Consolidated Financial Statements, tagged as blocks of text and including detailed tags</w:t>
            </w:r>
          </w:p>
        </w:tc>
      </w:tr>
      <w:tr>
        <w:trPr>
          <w:trHeight w:val="580"/>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104</w:t>
            </w:r>
          </w:p>
        </w:tc>
        <w:tc>
          <w:tcPr>
            <w:tcW w:w="720" w:type="dxa"/>
            <w:vAlign w:val="bottom"/>
          </w:tcPr>
          <w:p>
            <w:pPr>
              <w:spacing w:after="0"/>
              <w:rPr>
                <w:sz w:val="24"/>
                <w:szCs w:val="24"/>
                <w:color w:val="auto"/>
              </w:rPr>
            </w:pPr>
          </w:p>
        </w:tc>
        <w:tc>
          <w:tcPr>
            <w:tcW w:w="9680" w:type="dxa"/>
            <w:vAlign w:val="bottom"/>
            <w:gridSpan w:val="9"/>
          </w:tcPr>
          <w:p>
            <w:pPr>
              <w:spacing w:after="0"/>
              <w:rPr>
                <w:sz w:val="20"/>
                <w:szCs w:val="20"/>
                <w:color w:val="auto"/>
              </w:rPr>
            </w:pPr>
            <w:r>
              <w:rPr>
                <w:rFonts w:ascii="Arial" w:cs="Arial" w:eastAsia="Arial" w:hAnsi="Arial"/>
                <w:sz w:val="17"/>
                <w:szCs w:val="17"/>
                <w:color w:val="auto"/>
                <w:w w:val="95"/>
              </w:rPr>
              <w:t>The cover page from CC Holdings GS V LLC's Quarterly Report on Form 10-Q for the quarter ended June 30, 2019, formatted in Inline</w:t>
            </w:r>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80" w:type="dxa"/>
            <w:vAlign w:val="bottom"/>
            <w:gridSpan w:val="9"/>
          </w:tcPr>
          <w:p>
            <w:pPr>
              <w:spacing w:after="0"/>
              <w:rPr>
                <w:sz w:val="20"/>
                <w:szCs w:val="20"/>
                <w:color w:val="auto"/>
              </w:rPr>
            </w:pPr>
            <w:r>
              <w:rPr>
                <w:rFonts w:ascii="Arial" w:cs="Arial" w:eastAsia="Arial" w:hAnsi="Arial"/>
                <w:sz w:val="17"/>
                <w:szCs w:val="17"/>
                <w:color w:val="auto"/>
              </w:rPr>
              <w:t>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242570</wp:posOffset>
            </wp:positionV>
            <wp:extent cx="91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370"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3"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 Incorporated by reference to the exhibit previously filed by the Registrant on Form S-4 (Registration No. 333-187970) on April 17, 2013.</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CC HOLDINGS GS V LLC</w:t>
      </w:r>
    </w:p>
    <w:p>
      <w:pPr>
        <w:spacing w:after="0" w:line="333" w:lineRule="exact"/>
        <w:rPr>
          <w:sz w:val="20"/>
          <w:szCs w:val="20"/>
          <w:color w:val="auto"/>
        </w:rPr>
      </w:pPr>
    </w:p>
    <w:p>
      <w:pPr>
        <w:ind w:left="1240"/>
        <w:spacing w:after="0"/>
        <w:tabs>
          <w:tab w:leader="none" w:pos="5900" w:val="left"/>
          <w:tab w:leader="none" w:pos="7400" w:val="left"/>
        </w:tabs>
        <w:rPr>
          <w:sz w:val="20"/>
          <w:szCs w:val="20"/>
          <w:color w:val="auto"/>
        </w:rPr>
      </w:pPr>
      <w:r>
        <w:rPr>
          <w:rFonts w:ascii="Arial" w:cs="Arial" w:eastAsia="Arial" w:hAnsi="Arial"/>
          <w:sz w:val="18"/>
          <w:szCs w:val="18"/>
          <w:color w:val="auto"/>
        </w:rPr>
        <w:t>Date: July 31,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250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8"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Daniel K. Schlanger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(Principal Financial Officer)</w:t>
      </w:r>
    </w:p>
    <w:p>
      <w:pPr>
        <w:spacing w:after="0" w:line="320" w:lineRule="exact"/>
        <w:rPr>
          <w:sz w:val="20"/>
          <w:szCs w:val="20"/>
          <w:color w:val="auto"/>
        </w:rPr>
      </w:pPr>
    </w:p>
    <w:p>
      <w:pPr>
        <w:ind w:left="1240"/>
        <w:spacing w:after="0"/>
        <w:tabs>
          <w:tab w:leader="none" w:pos="5900" w:val="left"/>
          <w:tab w:leader="none" w:pos="7500" w:val="left"/>
        </w:tabs>
        <w:rPr>
          <w:sz w:val="20"/>
          <w:szCs w:val="20"/>
          <w:color w:val="auto"/>
        </w:rPr>
      </w:pPr>
      <w:r>
        <w:rPr>
          <w:rFonts w:ascii="Arial" w:cs="Arial" w:eastAsia="Arial" w:hAnsi="Arial"/>
          <w:sz w:val="18"/>
          <w:szCs w:val="18"/>
          <w:color w:val="auto"/>
        </w:rPr>
        <w:t>Date: July 31,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250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8"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Robert S. Collins</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Vice President and Controller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29756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40"/>
          </w:cols>
          <w:pgMar w:left="240" w:top="580"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pacing w:after="0" w:line="200" w:lineRule="exact"/>
        <w:rPr>
          <w:sz w:val="20"/>
          <w:szCs w:val="20"/>
          <w:color w:val="auto"/>
        </w:rPr>
      </w:pPr>
    </w:p>
    <w:p>
      <w:pPr>
        <w:spacing w:after="0" w:line="34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0956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340"/>
          </w:cols>
          <w:pgMar w:left="240" w:top="580"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connection with the Quarterly Report on Form 10-Q of CC Holdings GS V LLC, a Delaware Corporation (“Company”), for the period ending June 30, 2019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47"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June 30, 2019 (the last date of the period covered by the Report).</w:t>
      </w:r>
    </w:p>
    <w:p>
      <w:pPr>
        <w:spacing w:after="0" w:line="2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July 31, 2019</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and Chief Financial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July 31, 2019</w:t>
      </w:r>
    </w:p>
    <w:p>
      <w:pPr>
        <w:spacing w:after="0" w:line="19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Crown Castle International Corp. and will be retained by Crown Castle International Corp. and furnished to the Securities and Exchange Commission or its staff upon request.</w:t>
      </w:r>
    </w:p>
    <w:sectPr>
      <w:pgSz w:w="11900" w:h="16838" w:orient="portrait"/>
      <w:cols w:equalWidth="0" w:num="1">
        <w:col w:w="11340"/>
      </w:cols>
      <w:pgMar w:left="240" w:top="5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6"/>
    </w:lvl>
  </w:abstractNum>
  <w:abstractNum w:abstractNumId="1">
    <w:nsid w:val="25E45D32"/>
    <w:multiLevelType w:val="hybridMultilevel"/>
    <w:lvl w:ilvl="0">
      <w:lvlJc w:val="left"/>
      <w:lvlText w:val="(%1)"/>
      <w:numFmt w:val="lowerLetter"/>
      <w:start w:val="1"/>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3"/>
    </w:lvl>
  </w:abstractNum>
  <w:abstractNum w:abstractNumId="7">
    <w:nsid w:val="62BBD95A"/>
    <w:multiLevelType w:val="hybridMultilevel"/>
    <w:lvl w:ilvl="0">
      <w:lvlJc w:val="left"/>
      <w:lvlText w:val="%1."/>
      <w:numFmt w:val="decimal"/>
      <w:start w:val="4"/>
    </w:lvl>
  </w:abstractNum>
  <w:abstractNum w:abstractNumId="8">
    <w:nsid w:val="436C6125"/>
    <w:multiLevelType w:val="hybridMultilevel"/>
    <w:lvl w:ilvl="0">
      <w:lvlJc w:val="left"/>
      <w:lvlText w:val="%1."/>
      <w:numFmt w:val="decimal"/>
      <w:start w:val="5"/>
    </w:lvl>
  </w:abstractNum>
  <w:abstractNum w:abstractNumId="9">
    <w:nsid w:val="628C895D"/>
    <w:multiLevelType w:val="hybridMultilevel"/>
    <w:lvl w:ilvl="0">
      <w:lvlJc w:val="left"/>
      <w:lvlText w:val="%1."/>
      <w:numFmt w:val="decimal"/>
      <w:start w:val="6"/>
    </w:lvl>
  </w:abstractNum>
  <w:abstractNum w:abstractNumId="10">
    <w:nsid w:val="333AB105"/>
    <w:multiLevelType w:val="hybridMultilevel"/>
    <w:lvl w:ilvl="0">
      <w:lvlJc w:val="left"/>
      <w:lvlText w:val="%1."/>
      <w:numFmt w:val="decimal"/>
      <w:start w:val="7"/>
    </w:lvl>
  </w:abstractNum>
  <w:abstractNum w:abstractNumId="11">
    <w:nsid w:val="721DA317"/>
    <w:multiLevelType w:val="hybridMultilevel"/>
    <w:lvl w:ilvl="0">
      <w:lvlJc w:val="left"/>
      <w:lvlText w:val="%1."/>
      <w:numFmt w:val="decimal"/>
      <w:start w:val="8"/>
    </w:lvl>
  </w:abstractNum>
  <w:abstractNum w:abstractNumId="12">
    <w:nsid w:val="2443A858"/>
    <w:multiLevelType w:val="hybridMultilevel"/>
    <w:lvl w:ilvl="0">
      <w:lvlJc w:val="left"/>
      <w:lvlText w:val="(%1)"/>
      <w:numFmt w:val="decimal"/>
      <w:start w:val="3"/>
    </w:lvl>
  </w:abstractNum>
  <w:abstractNum w:abstractNumId="13">
    <w:nsid w:val="2D1D5AE9"/>
    <w:multiLevelType w:val="hybridMultilevel"/>
    <w:lvl w:ilvl="0">
      <w:lvlJc w:val="left"/>
      <w:lvlText w:val="(%1)"/>
      <w:numFmt w:val="lowerLetter"/>
      <w:start w:val="1"/>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decimal"/>
      <w:start w:val="10"/>
    </w:lvl>
  </w:abstractNum>
  <w:abstractNum w:abstractNumId="19">
    <w:nsid w:val="B03E0C6"/>
    <w:multiLevelType w:val="hybridMultilevel"/>
    <w:lvl w:ilvl="0">
      <w:lvlJc w:val="left"/>
      <w:lvlText w:val="•"/>
      <w:numFmt w:val="bullet"/>
      <w:start w:val="1"/>
    </w:lvl>
    <w:lvl w:ilvl="1">
      <w:lvlJc w:val="left"/>
      <w:lvlText w:val="◦"/>
      <w:numFmt w:val="bullet"/>
      <w:start w:val="1"/>
    </w:lvl>
  </w:abstractNum>
  <w:abstractNum w:abstractNumId="20">
    <w:nsid w:val="189A769B"/>
    <w:multiLevelType w:val="hybridMultilevel"/>
    <w:lvl w:ilvl="0">
      <w:lvlJc w:val="left"/>
      <w:lvlText w:val="•"/>
      <w:numFmt w:val="bullet"/>
      <w:start w:val="1"/>
    </w:lvl>
    <w:lvl w:ilvl="1">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lvl w:ilvl="1">
      <w:lvlJc w:val="left"/>
      <w:lvlText w:val="(%2)"/>
      <w:numFmt w:val="decimal"/>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Archives/edgar/data/1574211/000119312513158983/d519395dex31.htm" TargetMode="External"/><Relationship Id="rId13" Type="http://schemas.openxmlformats.org/officeDocument/2006/relationships/hyperlink" Target="http://www.sec.gov/Archives/edgar/data/1574211/000119312513158983/d5193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2019-12-28T10:00:55Z</dcterms:created>
  <dcterms:modified xsi:type="dcterms:W3CDTF">2019-12-28T10:00:55Z</dcterms:modified>
</cp:coreProperties>
</file>