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ectPr>
          <w:pgSz w:w="11900" w:h="16838" w:orient="portrait"/>
          <w:cols w:equalWidth="0" w:num="1">
            <w:col w:w="11440"/>
          </w:cols>
          <w:pgMar w:left="240" w:top="1182" w:right="219" w:bottom="1440" w:gutter="0" w:footer="0" w:header="0"/>
        </w:sectPr>
      </w:pPr>
    </w:p>
    <w:p>
      <w:pPr>
        <w:spacing w:after="0" w:line="122" w:lineRule="exact"/>
        <w:rPr>
          <w:sz w:val="24"/>
          <w:szCs w:val="24"/>
          <w:color w:val="auto"/>
        </w:rPr>
      </w:pPr>
    </w:p>
    <w:p>
      <w:pPr>
        <w:ind w:left="1160"/>
        <w:spacing w:after="0" w:line="191" w:lineRule="exact"/>
        <w:rPr>
          <w:sz w:val="20"/>
          <w:szCs w:val="20"/>
          <w:color w:val="auto"/>
        </w:rPr>
      </w:pP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116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87"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4"/>
          <w:szCs w:val="14"/>
          <w:color w:val="auto"/>
        </w:rPr>
        <w:t>For the quarterly period ended September 30, 2019</w:t>
      </w:r>
    </w:p>
    <w:p>
      <w:pPr>
        <w:spacing w:after="0" w:line="42"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4"/>
          <w:szCs w:val="14"/>
          <w:color w:val="auto"/>
        </w:rPr>
        <w:t>OR</w:t>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5" w:lineRule="exact"/>
        <w:rPr>
          <w:sz w:val="24"/>
          <w:szCs w:val="24"/>
          <w:color w:val="auto"/>
        </w:rPr>
      </w:pPr>
    </w:p>
    <w:p>
      <w:pPr>
        <w:sectPr>
          <w:pgSz w:w="11900" w:h="16838" w:orient="portrait"/>
          <w:cols w:equalWidth="0" w:num="2">
            <w:col w:w="1360" w:space="100"/>
            <w:col w:w="9980"/>
          </w:cols>
          <w:pgMar w:left="240" w:top="1182" w:right="219" w:bottom="1440" w:gutter="0" w:footer="0" w:header="0"/>
          <w:type w:val="continuous"/>
        </w:sectPr>
      </w:pPr>
    </w:p>
    <w:p>
      <w:pPr>
        <w:ind w:left="4480"/>
        <w:spacing w:after="0"/>
        <w:tabs>
          <w:tab w:leader="none" w:pos="6360" w:val="left"/>
        </w:tabs>
        <w:rPr>
          <w:sz w:val="20"/>
          <w:szCs w:val="20"/>
          <w:color w:val="auto"/>
        </w:rPr>
      </w:pPr>
      <w:r>
        <w:rPr>
          <w:rFonts w:ascii="Times New Roman" w:cs="Times New Roman" w:eastAsia="Times New Roman" w:hAnsi="Times New Roman"/>
          <w:sz w:val="14"/>
          <w:szCs w:val="14"/>
          <w:color w:val="auto"/>
        </w:rPr>
        <w:t>For the transition period</w:t>
      </w:r>
      <w:r>
        <w:rPr>
          <w:sz w:val="20"/>
          <w:szCs w:val="20"/>
          <w:color w:val="auto"/>
        </w:rPr>
        <w:tab/>
      </w:r>
      <w:r>
        <w:rPr>
          <w:rFonts w:ascii="Times New Roman" w:cs="Times New Roman" w:eastAsia="Times New Roman" w:hAnsi="Times New Roman"/>
          <w:sz w:val="12"/>
          <w:szCs w:val="12"/>
          <w:color w:val="auto"/>
        </w:rPr>
        <w:t>to</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Commission File Number 333-187970</w:t>
      </w:r>
    </w:p>
    <w:p>
      <w:pPr>
        <w:spacing w:after="0" w:line="1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CC HOLDINGS GS V LLC</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0" w:lineRule="exact"/>
        <w:rPr>
          <w:sz w:val="24"/>
          <w:szCs w:val="24"/>
          <w:color w:val="auto"/>
        </w:rPr>
      </w:pPr>
    </w:p>
    <w:tbl>
      <w:tblPr>
        <w:tblLayout w:type="fixed"/>
        <w:tblInd w:w="2500" w:type="dxa"/>
        <w:tblCellMar>
          <w:top w:w="0" w:type="dxa"/>
          <w:left w:w="0" w:type="dxa"/>
          <w:bottom w:w="0" w:type="dxa"/>
          <w:right w:w="0" w:type="dxa"/>
        </w:tblCellMar>
      </w:tblPr>
      <w:tr>
        <w:trPr>
          <w:trHeight w:val="212"/>
        </w:trPr>
        <w:tc>
          <w:tcPr>
            <w:tcW w:w="3400" w:type="dxa"/>
            <w:vAlign w:val="bottom"/>
          </w:tcPr>
          <w:p>
            <w:pPr>
              <w:jc w:val="center"/>
              <w:ind w:right="155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00" w:type="dxa"/>
            <w:vAlign w:val="bottom"/>
          </w:tcPr>
          <w:p>
            <w:pPr>
              <w:jc w:val="center"/>
              <w:ind w:left="1551"/>
              <w:spacing w:after="0"/>
              <w:rPr>
                <w:sz w:val="20"/>
                <w:szCs w:val="20"/>
                <w:color w:val="auto"/>
              </w:rPr>
            </w:pPr>
            <w:r>
              <w:rPr>
                <w:rFonts w:ascii="Times New Roman" w:cs="Times New Roman" w:eastAsia="Times New Roman" w:hAnsi="Times New Roman"/>
                <w:sz w:val="16"/>
                <w:szCs w:val="16"/>
                <w:b w:val="1"/>
                <w:bCs w:val="1"/>
                <w:color w:val="auto"/>
              </w:rPr>
              <w:t>20-4300339</w:t>
            </w:r>
          </w:p>
        </w:tc>
      </w:tr>
      <w:tr>
        <w:trPr>
          <w:trHeight w:val="175"/>
        </w:trPr>
        <w:tc>
          <w:tcPr>
            <w:tcW w:w="3400" w:type="dxa"/>
            <w:vAlign w:val="bottom"/>
          </w:tcPr>
          <w:p>
            <w:pPr>
              <w:jc w:val="center"/>
              <w:ind w:right="157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2600" w:type="dxa"/>
            <w:vAlign w:val="bottom"/>
          </w:tcPr>
          <w:p>
            <w:pPr>
              <w:jc w:val="center"/>
              <w:ind w:left="1551"/>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400" w:type="dxa"/>
            <w:vAlign w:val="bottom"/>
          </w:tcPr>
          <w:p>
            <w:pPr>
              <w:jc w:val="center"/>
              <w:ind w:right="1551"/>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2600" w:type="dxa"/>
            <w:vAlign w:val="bottom"/>
          </w:tcPr>
          <w:p>
            <w:pPr>
              <w:jc w:val="center"/>
              <w:ind w:left="155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1220 Augusta Drive, Suite 600, Houston, Texas 77057-2261</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of principal executives office) (Zip Code)</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(713) 570-3000</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3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58" w:lineRule="exact"/>
        <w:rPr>
          <w:sz w:val="24"/>
          <w:szCs w:val="24"/>
          <w:color w:val="auto"/>
        </w:rPr>
      </w:pPr>
    </w:p>
    <w:p>
      <w:pPr>
        <w:jc w:val="both"/>
        <w:ind w:right="40" w:firstLine="324"/>
        <w:spacing w:after="0" w:line="22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right="20" w:firstLine="324"/>
        <w:spacing w:after="0" w:line="271" w:lineRule="auto"/>
        <w:rPr>
          <w:sz w:val="20"/>
          <w:szCs w:val="20"/>
          <w:color w:val="auto"/>
        </w:rPr>
      </w:pPr>
      <w:r>
        <w:rPr>
          <w:rFonts w:ascii="Times New Roman" w:cs="Times New Roman" w:eastAsia="Times New Roman" w:hAnsi="Times New Roman"/>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314" w:lineRule="exact"/>
        <w:rPr>
          <w:sz w:val="24"/>
          <w:szCs w:val="24"/>
          <w:color w:val="auto"/>
        </w:rPr>
      </w:pPr>
    </w:p>
    <w:p>
      <w:pPr>
        <w:jc w:val="both"/>
        <w:ind w:right="20" w:firstLine="324"/>
        <w:spacing w:after="0" w:line="22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8"/>
          <w:szCs w:val="18"/>
          <w:color w:val="auto"/>
        </w:rPr>
        <w:t>☐</w:t>
      </w:r>
    </w:p>
    <w:p>
      <w:pPr>
        <w:spacing w:after="0" w:line="133"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340" w:type="dxa"/>
        <w:tblCellMar>
          <w:top w:w="0" w:type="dxa"/>
          <w:left w:w="0" w:type="dxa"/>
          <w:bottom w:w="0" w:type="dxa"/>
          <w:right w:w="0" w:type="dxa"/>
        </w:tblCellMar>
      </w:tblPr>
      <w:tr>
        <w:trPr>
          <w:trHeight w:val="270"/>
        </w:trPr>
        <w:tc>
          <w:tcPr>
            <w:tcW w:w="25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Large accelerated filer</w:t>
            </w:r>
          </w:p>
        </w:tc>
        <w:tc>
          <w:tcPr>
            <w:tcW w:w="44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5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Non-accelerated filer</w:t>
            </w:r>
          </w:p>
        </w:tc>
        <w:tc>
          <w:tcPr>
            <w:tcW w:w="44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56"/>
        </w:trPr>
        <w:tc>
          <w:tcPr>
            <w:tcW w:w="9740" w:type="dxa"/>
            <w:vAlign w:val="bottom"/>
            <w:gridSpan w:val="4"/>
          </w:tcPr>
          <w:p>
            <w:pPr>
              <w:ind w:left="900"/>
              <w:spacing w:after="0" w:line="155"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w:t>
            </w:r>
          </w:p>
        </w:tc>
      </w:tr>
      <w:tr>
        <w:trPr>
          <w:trHeight w:val="283"/>
        </w:trPr>
        <w:tc>
          <w:tcPr>
            <w:tcW w:w="6920" w:type="dxa"/>
            <w:vAlign w:val="bottom"/>
            <w:gridSpan w:val="2"/>
          </w:tcPr>
          <w:p>
            <w:pPr>
              <w:ind w:left="900"/>
              <w:spacing w:after="0" w:line="207" w:lineRule="exact"/>
              <w:rPr>
                <w:sz w:val="20"/>
                <w:szCs w:val="20"/>
                <w:color w:val="auto"/>
              </w:rPr>
            </w:pPr>
            <w:r>
              <w:rPr>
                <w:rFonts w:ascii="Times New Roman" w:cs="Times New Roman" w:eastAsia="Times New Roman" w:hAnsi="Times New Roman"/>
                <w:sz w:val="14"/>
                <w:szCs w:val="14"/>
                <w:color w:val="auto"/>
              </w:rPr>
              <w:t xml:space="preserve">or revised financial accounting standards provided pursuant to Section 13(a) of the Exchange Act. </w:t>
            </w:r>
            <w:r>
              <w:rPr>
                <w:rFonts w:ascii="MS PGothic" w:cs="MS PGothic" w:eastAsia="MS PGothic" w:hAnsi="MS PGothic"/>
                <w:sz w:val="18"/>
                <w:szCs w:val="18"/>
                <w:color w:val="auto"/>
              </w:rPr>
              <w:t>☐</w:t>
            </w:r>
          </w:p>
        </w:tc>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34"/>
        </w:trPr>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p>
        </w:tc>
        <w:tc>
          <w:tcPr>
            <w:tcW w:w="214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tc>
        <w:tc>
          <w:tcPr>
            <w:tcW w:w="680" w:type="dxa"/>
            <w:vAlign w:val="bottom"/>
          </w:tcPr>
          <w:p>
            <w:pPr>
              <w:spacing w:after="0"/>
              <w:rPr>
                <w:sz w:val="24"/>
                <w:szCs w:val="24"/>
                <w:color w:val="auto"/>
              </w:rPr>
            </w:pPr>
          </w:p>
        </w:tc>
      </w:tr>
    </w:tbl>
    <w:p>
      <w:pPr>
        <w:spacing w:after="0" w:line="18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September 30, 2019, the only member of the registrant is a wholly-owned indirect subsidiary of Crown Castle International Corp.</w:t>
      </w:r>
    </w:p>
    <w:p>
      <w:pPr>
        <w:spacing w:after="0" w:line="109"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4"/>
          <w:szCs w:val="14"/>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440"/>
          </w:cols>
          <w:pgMar w:left="240" w:top="1182" w:right="21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00" w:type="dxa"/>
            <w:vAlign w:val="bottom"/>
            <w:gridSpan w:val="7"/>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CC HOLDINGS GS V LLC</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gridSpan w:val="7"/>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29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PART I—FINANCIAL INFORMATION</w:t>
            </w:r>
          </w:p>
        </w:tc>
        <w:tc>
          <w:tcPr>
            <w:tcW w:w="7240" w:type="dxa"/>
            <w:vAlign w:val="bottom"/>
            <w:gridSpan w:val="10"/>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CONDENSED CONSOLIDATED BALANCE SHEET (Unaudited)</w:t>
            </w: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CONDENSED CONSOLIDATED STATEMENT OF OPERATIONS (Unaudited)</w:t>
            </w:r>
          </w:p>
        </w:tc>
        <w:tc>
          <w:tcPr>
            <w:tcW w:w="2580" w:type="dxa"/>
            <w:vAlign w:val="bottom"/>
            <w:gridSpan w:val="5"/>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CONDENSED CONSOLIDATED STATEMENT OF CASH FLOWS (Unaudited)</w:t>
            </w: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CONDENSED CONSOLIDATED STATEMENT OF CHANGES IN MEMBER'S EQUITY (Unaudited)</w:t>
            </w: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STATEMENTS—Unaudited</w:t>
            </w:r>
          </w:p>
        </w:tc>
        <w:tc>
          <w:tcPr>
            <w:tcW w:w="94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77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w:t>
            </w: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6"/>
              </w:rPr>
              <w:t>OPERATIONS</w:t>
            </w:r>
          </w:p>
        </w:tc>
        <w:tc>
          <w:tcPr>
            <w:tcW w:w="7400" w:type="dxa"/>
            <w:vAlign w:val="bottom"/>
            <w:gridSpan w:val="12"/>
          </w:tcPr>
          <w:p>
            <w:pPr>
              <w:spacing w:after="0"/>
              <w:rPr>
                <w:sz w:val="17"/>
                <w:szCs w:val="17"/>
                <w:color w:val="auto"/>
              </w:rPr>
            </w:pPr>
          </w:p>
        </w:tc>
        <w:tc>
          <w:tcPr>
            <w:tcW w:w="11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13</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6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CONTROLS AND PROCEDURES</w:t>
            </w:r>
          </w:p>
        </w:tc>
        <w:tc>
          <w:tcPr>
            <w:tcW w:w="5900" w:type="dxa"/>
            <w:vAlign w:val="bottom"/>
            <w:gridSpan w:val="7"/>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18</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PART II—OTHER INFORMATION</w:t>
            </w:r>
          </w:p>
        </w:tc>
        <w:tc>
          <w:tcPr>
            <w:tcW w:w="7560" w:type="dxa"/>
            <w:vAlign w:val="bottom"/>
            <w:gridSpan w:val="13"/>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19</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19</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RISK FACTORS</w:t>
            </w:r>
          </w:p>
        </w:tc>
        <w:tc>
          <w:tcPr>
            <w:tcW w:w="620" w:type="dxa"/>
            <w:vAlign w:val="bottom"/>
            <w:gridSpan w:val="2"/>
          </w:tcPr>
          <w:p>
            <w:pPr>
              <w:spacing w:after="0"/>
              <w:rPr>
                <w:sz w:val="21"/>
                <w:szCs w:val="21"/>
                <w:color w:val="auto"/>
              </w:rPr>
            </w:pPr>
          </w:p>
        </w:tc>
        <w:tc>
          <w:tcPr>
            <w:tcW w:w="6640" w:type="dxa"/>
            <w:vAlign w:val="bottom"/>
            <w:gridSpan w:val="9"/>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19</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420" w:type="dxa"/>
            <w:vAlign w:val="bottom"/>
            <w:gridSpan w:val="3"/>
          </w:tcPr>
          <w:p>
            <w:pPr>
              <w:spacing w:after="0"/>
              <w:rPr>
                <w:sz w:val="21"/>
                <w:szCs w:val="21"/>
                <w:color w:val="auto"/>
              </w:rPr>
            </w:pPr>
          </w:p>
        </w:tc>
        <w:tc>
          <w:tcPr>
            <w:tcW w:w="7260" w:type="dxa"/>
            <w:vAlign w:val="bottom"/>
            <w:gridSpan w:val="11"/>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19</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 INDEX</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19</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w w:val="96"/>
              </w:rPr>
              <w:t>SIGNATURES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20</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and any variation of these words and similar expressions are intended to identify forward-looking statements. Such statements include plans, projections and estimates contained in </w:t>
      </w:r>
      <w:r>
        <w:rPr>
          <w:rFonts w:ascii="Times New Roman" w:cs="Times New Roman" w:eastAsia="Times New Roman" w:hAnsi="Times New Roman"/>
          <w:sz w:val="18"/>
          <w:szCs w:val="18"/>
          <w:i w:val="1"/>
          <w:iCs w:val="1"/>
          <w:color w:val="auto"/>
        </w:rPr>
        <w:t>"Part I—Item 2. Management's Discussion and Analysis of Financial Condition and Results of Operations"</w:t>
      </w:r>
      <w:r>
        <w:rPr>
          <w:rFonts w:ascii="Times New Roman" w:cs="Times New Roman" w:eastAsia="Times New Roman" w:hAnsi="Times New Roman"/>
          <w:sz w:val="18"/>
          <w:szCs w:val="18"/>
          <w:color w:val="auto"/>
        </w:rPr>
        <w:t xml:space="preserve"> ("MD&amp;A") and </w:t>
      </w:r>
      <w:r>
        <w:rPr>
          <w:rFonts w:ascii="Times New Roman" w:cs="Times New Roman" w:eastAsia="Times New Roman" w:hAnsi="Times New Roman"/>
          <w:sz w:val="18"/>
          <w:szCs w:val="18"/>
          <w:i w:val="1"/>
          <w:iCs w:val="1"/>
          <w:color w:val="auto"/>
        </w:rPr>
        <w:t>"Part II—Item 1A. Risk Factors"</w:t>
      </w:r>
      <w:r>
        <w:rPr>
          <w:rFonts w:ascii="Times New Roman" w:cs="Times New Roman" w:eastAsia="Times New Roman" w:hAnsi="Times New Roman"/>
          <w:sz w:val="18"/>
          <w:szCs w:val="18"/>
          <w:color w:val="auto"/>
        </w:rPr>
        <w:t xml:space="preserve"> herein. Such forward-looking statements include (1) expectations regarding anticipated growth in the wireless industry and demand for wireless data, (2) expectations regarding wireless carriers' focus on improving network quality and expanding capacity,</w:t>
      </w:r>
    </w:p>
    <w:p>
      <w:pPr>
        <w:spacing w:after="0" w:line="4" w:lineRule="exact"/>
        <w:rPr>
          <w:sz w:val="20"/>
          <w:szCs w:val="20"/>
          <w:color w:val="auto"/>
        </w:rPr>
      </w:pPr>
    </w:p>
    <w:p>
      <w:pPr>
        <w:jc w:val="both"/>
        <w:ind w:firstLine="8"/>
        <w:spacing w:after="0" w:line="252" w:lineRule="auto"/>
        <w:tabs>
          <w:tab w:leader="none" w:pos="27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tenant leasing and non-renewals of tenant contracts, (4) expectations regarding demand for our communications infrastructure, including factors driving such demand, and the potential benefits that may be derived therefrom, (5) expectations regarding cash flows and liquidity for, or plans regarding, capital expenditures, (6) expectations regarding our capital structure, debt maturities, our availability and cost of capital, and capital allocation, (7) expectations related to the ability of Crown Castle International Corp. ("CCIC" or "Crown Castle") to remain qualified as a real estate investment trust ("REIT") and the advantages, benefits or impact of, or opportunities created by the inclusion of our assets and operations in CCIC's REIT, (8) the utilization of our net operating loss carryforwards ("NOLs") and (9) expectations related to the impact of customer consolidation or ownership changes, including the impact of the potential combination of T-Mobile and Sprint.</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Such forward-looking statements should, therefore, be considered in light of various risks, uncertainties and assumptions, including prevailing market conditions, risk factors described in </w:t>
      </w:r>
      <w:r>
        <w:rPr>
          <w:rFonts w:ascii="Times New Roman" w:cs="Times New Roman" w:eastAsia="Times New Roman" w:hAnsi="Times New Roman"/>
          <w:sz w:val="18"/>
          <w:szCs w:val="18"/>
          <w:i w:val="1"/>
          <w:iCs w:val="1"/>
          <w:color w:val="auto"/>
        </w:rPr>
        <w:t>"Part II—Item 1A. Risk Factors"</w:t>
      </w:r>
      <w:r>
        <w:rPr>
          <w:rFonts w:ascii="Times New Roman" w:cs="Times New Roman" w:eastAsia="Times New Roman" w:hAnsi="Times New Roman"/>
          <w:sz w:val="18"/>
          <w:szCs w:val="18"/>
          <w:color w:val="auto"/>
        </w:rPr>
        <w:t xml:space="preserve"> herein and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of our Annual Report on Form 10-K for the fiscal year ended December 31, 2018 ("2018 Form 10-K")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filings with the SEC are available through the SEC website at www.sec.gov or through CCIC’s investor relations website at investor.crowncastle.com. CCIC uses its investor relations website to disclose information about CCIC and us that may be deemed to be material. We encourage investors, the media and others interested in us to visit CCIC’s investor relations website from time to time to review up-to-date information or to sign up for e-mail alerts to be notified when new or updated information is posted on the site.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40" w:type="dxa"/>
            <w:vAlign w:val="bottom"/>
          </w:tcPr>
          <w:p>
            <w:pPr>
              <w:jc w:val="center"/>
              <w:ind w:left="1273"/>
              <w:spacing w:after="0"/>
              <w:rPr>
                <w:sz w:val="20"/>
                <w:szCs w:val="20"/>
                <w:color w:val="auto"/>
              </w:rPr>
            </w:pPr>
            <w:r>
              <w:rPr>
                <w:rFonts w:ascii="Times New Roman" w:cs="Times New Roman" w:eastAsia="Times New Roman" w:hAnsi="Times New Roman"/>
                <w:sz w:val="18"/>
                <w:szCs w:val="18"/>
                <w:b w:val="1"/>
                <w:bCs w:val="1"/>
                <w:color w:val="auto"/>
                <w:w w:val="99"/>
              </w:rPr>
              <w:t>CC HOLDINGS GS V LLC</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40" w:type="dxa"/>
            <w:vAlign w:val="bottom"/>
          </w:tcPr>
          <w:p>
            <w:pPr>
              <w:jc w:val="center"/>
              <w:ind w:left="1293"/>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 (Unaudited)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40" w:type="dxa"/>
            <w:vAlign w:val="bottom"/>
          </w:tcPr>
          <w:p>
            <w:pPr>
              <w:jc w:val="center"/>
              <w:ind w:left="1293"/>
              <w:spacing w:after="0"/>
              <w:rPr>
                <w:sz w:val="20"/>
                <w:szCs w:val="20"/>
                <w:color w:val="auto"/>
              </w:rPr>
            </w:pPr>
            <w:r>
              <w:rPr>
                <w:rFonts w:ascii="Times New Roman" w:cs="Times New Roman" w:eastAsia="Times New Roman" w:hAnsi="Times New Roman"/>
                <w:sz w:val="18"/>
                <w:szCs w:val="18"/>
                <w:b w:val="1"/>
                <w:bCs w:val="1"/>
                <w:color w:val="auto"/>
                <w:w w:val="99"/>
              </w:rPr>
              <w:t>(In thousands of dollars)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7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7540" w:type="dxa"/>
            <w:vAlign w:val="bottom"/>
            <w:tcBorders>
              <w:bottom w:val="single" w:sz="8" w:color="CCEEFF"/>
            </w:tcBorders>
            <w:shd w:val="clear" w:color="auto" w:fill="CCEEFF"/>
          </w:tcPr>
          <w:p>
            <w:pPr>
              <w:jc w:val="center"/>
              <w:ind w:right="115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Receivables, net</w:t>
            </w: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4,327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14,883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Deferred site rental receivables and other current assets</w:t>
            </w: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28,413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27,014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64,130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73,203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site rental receivables</w:t>
            </w: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352,984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343,740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$1,081,133 and $1,011,900,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1,015,632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1,017,767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23"/>
                <w:szCs w:val="23"/>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1,135,264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7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1,338,730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1,338,730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23"/>
                <w:szCs w:val="23"/>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707,376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808,327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prepaid rent and other assets, net</w:t>
            </w:r>
            <w:r>
              <w:rPr>
                <w:rFonts w:ascii="Times New Roman" w:cs="Times New Roman" w:eastAsia="Times New Roman" w:hAnsi="Times New Roman"/>
                <w:sz w:val="21"/>
                <w:szCs w:val="21"/>
                <w:color w:val="auto"/>
                <w:vertAlign w:val="superscript"/>
              </w:rPr>
              <w:t>(a)</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39,669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78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4,615,994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3,621,436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40" w:type="dxa"/>
            <w:vAlign w:val="bottom"/>
          </w:tcPr>
          <w:p>
            <w:pPr>
              <w:jc w:val="center"/>
              <w:ind w:right="1153"/>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7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2,164</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17,748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Deferred revenues</w:t>
            </w: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13,390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12,533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accrued liabilities</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7,484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8,866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Current portion of operating lease liabilities—third parties</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23"/>
                <w:szCs w:val="23"/>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38,176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Current portion of operating lease liabilities—related parties</w:t>
            </w:r>
            <w:r>
              <w:rPr>
                <w:rFonts w:ascii="Times New Roman" w:cs="Times New Roman" w:eastAsia="Times New Roman" w:hAnsi="Times New Roman"/>
                <w:sz w:val="21"/>
                <w:szCs w:val="21"/>
                <w:color w:val="auto"/>
                <w:vertAlign w:val="superscript"/>
              </w:rPr>
              <w:t>(a)</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16,397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95,359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31,458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7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995,085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994,047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liabilities—third parties</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23"/>
                <w:szCs w:val="23"/>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827,253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liabilities—related parties</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319,472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ground lease payable</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112,832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1"/>
                <w:szCs w:val="21"/>
                <w:color w:val="auto"/>
                <w:vertAlign w:val="superscript"/>
              </w:rPr>
              <w:t>(a)</w:t>
            </w:r>
          </w:p>
        </w:tc>
        <w:tc>
          <w:tcPr>
            <w:tcW w:w="75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35,618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50,108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2,272,787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1,188,445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Member's equity:</w:t>
            </w:r>
          </w:p>
        </w:tc>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2,343,207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2,432,991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Accumulated earnings (deficit)</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2,343,207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2,432,991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7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4,615,994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3,621,436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"Recently Adopted Accounting Pronouncements"</w:t>
      </w:r>
      <w:r>
        <w:rPr>
          <w:rFonts w:ascii="Times New Roman" w:cs="Times New Roman" w:eastAsia="Times New Roman" w:hAnsi="Times New Roman"/>
          <w:sz w:val="14"/>
          <w:szCs w:val="14"/>
          <w:color w:val="auto"/>
        </w:rPr>
        <w:t xml:space="preserve"> in note 2 to the condensed consolidated financial statements for a discussion of the recently adopted lease standard.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00"/>
          </w:cols>
          <w:pgMar w:left="240" w:top="576"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576" w:right="2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1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Site rental revenues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171,745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165,108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507,256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492,158</w:t>
            </w:r>
          </w:p>
        </w:tc>
      </w:tr>
      <w:tr>
        <w:trPr>
          <w:trHeight w:val="270"/>
        </w:trPr>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56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Site rental cost of operations—third parties</w:t>
            </w:r>
            <w:r>
              <w:rPr>
                <w:rFonts w:ascii="Times New Roman" w:cs="Times New Roman" w:eastAsia="Times New Roman" w:hAnsi="Times New Roman"/>
                <w:sz w:val="21"/>
                <w:szCs w:val="21"/>
                <w:color w:val="auto"/>
                <w:vertAlign w:val="superscript"/>
              </w:rPr>
              <w:t>(a)</w:t>
            </w:r>
          </w:p>
        </w:tc>
        <w:tc>
          <w:tcPr>
            <w:tcW w:w="22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38,406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37,616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114,212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112,469</w:t>
            </w:r>
          </w:p>
        </w:tc>
      </w:tr>
      <w:tr>
        <w:trPr>
          <w:trHeight w:val="270"/>
        </w:trPr>
        <w:tc>
          <w:tcPr>
            <w:tcW w:w="56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Site rental cost of operations—related parties</w:t>
            </w:r>
            <w:r>
              <w:rPr>
                <w:rFonts w:ascii="Times New Roman" w:cs="Times New Roman" w:eastAsia="Times New Roman" w:hAnsi="Times New Roman"/>
                <w:sz w:val="21"/>
                <w:szCs w:val="21"/>
                <w:color w:val="auto"/>
                <w:vertAlign w:val="superscript"/>
              </w:rPr>
              <w:t>(a)</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10,880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10,163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32,210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30,478</w:t>
            </w:r>
          </w:p>
        </w:tc>
      </w:tr>
      <w:tr>
        <w:trPr>
          <w:trHeight w:val="250"/>
        </w:trPr>
        <w:tc>
          <w:tcPr>
            <w:tcW w:w="56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Site rental cost of operations—total</w:t>
            </w:r>
            <w:r>
              <w:rPr>
                <w:rFonts w:ascii="Times New Roman" w:cs="Times New Roman" w:eastAsia="Times New Roman" w:hAnsi="Times New Roman"/>
                <w:sz w:val="21"/>
                <w:szCs w:val="21"/>
                <w:color w:val="auto"/>
                <w:vertAlign w:val="superscript"/>
              </w:rPr>
              <w:t>(a)</w:t>
            </w:r>
          </w:p>
        </w:tc>
        <w:tc>
          <w:tcPr>
            <w:tcW w:w="22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49,286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47,779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146,422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142,947</w:t>
            </w:r>
          </w:p>
        </w:tc>
      </w:tr>
      <w:tr>
        <w:trPr>
          <w:trHeight w:val="25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Management fee—related party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36,227</w:t>
            </w:r>
          </w:p>
        </w:tc>
      </w:tr>
      <w:tr>
        <w:trPr>
          <w:trHeight w:val="237"/>
        </w:trPr>
        <w:tc>
          <w:tcPr>
            <w:tcW w:w="56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Asset write-down charges</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344</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52,665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52,333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157,436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157,765</w:t>
            </w:r>
          </w:p>
        </w:tc>
      </w:tr>
      <w:tr>
        <w:trPr>
          <w:trHeight w:val="217"/>
        </w:trPr>
        <w:tc>
          <w:tcPr>
            <w:tcW w:w="562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114,562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112,319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341,471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337,283</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57,183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52,789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165,785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154,875</w:t>
            </w: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r>
      <w:tr>
        <w:trPr>
          <w:trHeight w:val="21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47,374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42,910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136,324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125,032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47,272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42,817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136,017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124,753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ind w:left="340" w:hanging="332"/>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136,017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124,753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157,436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157,765</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1,038</w:t>
            </w:r>
          </w:p>
        </w:tc>
      </w:tr>
      <w:tr>
        <w:trPr>
          <w:trHeight w:val="237"/>
        </w:trPr>
        <w:tc>
          <w:tcPr>
            <w:tcW w:w="8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Asset write-down charges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Increase (decrease) in accrued interest</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9,622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9,622</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Increase (decrease) in 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3,009</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(12,505)</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289,983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284,368</w:t>
            </w:r>
          </w:p>
        </w:tc>
      </w:tr>
      <w:tr>
        <w:trPr>
          <w:trHeight w:val="231"/>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(52,187)</w:t>
            </w:r>
          </w:p>
        </w:tc>
      </w:tr>
      <w:tr>
        <w:trPr>
          <w:trHeight w:val="217"/>
        </w:trPr>
        <w:tc>
          <w:tcPr>
            <w:tcW w:w="85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(64,403)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(52,187)</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(238,716)</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(238,716)</w:t>
            </w:r>
          </w:p>
        </w:tc>
      </w:tr>
      <w:tr>
        <w:trPr>
          <w:trHeight w:val="217"/>
        </w:trPr>
        <w:tc>
          <w:tcPr>
            <w:tcW w:w="85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(6,535)</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30,771</w:t>
            </w:r>
          </w:p>
        </w:tc>
      </w:tr>
      <w:tr>
        <w:trPr>
          <w:trHeight w:val="24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18,486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24,236</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July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2,377,756</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2,377,756</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(81,821)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47,272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47,272</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September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2,343,207</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2,343,207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July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2,498,784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2,498,784</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(79,093)</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42,817</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42,817</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September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2,462,508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2,462,508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January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2,432,991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2,432,991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(89,784)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(136,017)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(225,801)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136,017</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136,017</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September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2,343,207</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2,343,207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2,576,471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2,576,471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(124,753)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(238,716)</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124,753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124,753</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September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2,462,508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2,462,508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following notes to the condensed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2018, and related notes thereto, included in the 2018 Form 10-K filed by the Company with the SEC.</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organized specifically to own, lease and manage towers and other structures (collectively, "towers"), and to a lesser extent, interests in land under third party and related party towers in various forms ("land interests") (collectively, "communications infrastructure" or "sites") that are geographically dispersed across the U.S. The Company's core business is providing access, including space or capacity, to its sites via long-term contracts in various forms, including lease, license and sublease agreements (collectively, "contracts"). The Company's customers on its communications infrastructure are referred to herein as "tenants." Management services related to the Company's sites are performed by Crown Castle USA Inc. ("CCUSA"), an affiliate of the Company, under the Management Agreement, as the Company has no employees.</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Approximately 68% of the Company's sites are leased or subleased or operated and managed for an initial period of 32 years (through May 2037) under master leases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CCIC operates as a real estate investment trust ("REIT"), and as its indirect subsidiary, the Company's assets and operations are included in the CCIC REIT. See note 5.</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however, they include all adjustments (consisting only of normal recurring adjustments) which, in the opinion of management, are necessary to state fairly the consolidated financial position of the Company at September 30, 2019, the condensed consolidated results of operations for both the three and nine months ended September 30, 2019 and 2018 and the condensed consolidated cash flows for the nine months ended September 30, 2019 and 2018.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full year.</w:t>
      </w:r>
    </w:p>
    <w:p>
      <w:pPr>
        <w:spacing w:after="0" w:line="13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reporting period. Actual results could differ from those estimates.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31"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29" w:lineRule="exact"/>
        <w:rPr>
          <w:sz w:val="20"/>
          <w:szCs w:val="20"/>
          <w:color w:val="auto"/>
        </w:rPr>
      </w:pPr>
    </w:p>
    <w:p>
      <w:pPr>
        <w:jc w:val="both"/>
        <w:ind w:left="420" w:right="7620" w:hanging="412"/>
        <w:spacing w:after="0" w:line="533" w:lineRule="auto"/>
        <w:tabs>
          <w:tab w:leader="none" w:pos="4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i w:val="1"/>
          <w:iCs w:val="1"/>
          <w:color w:val="auto"/>
        </w:rPr>
        <w:t>Recently Adopted Accounting Pronouncements</w:t>
      </w:r>
    </w:p>
    <w:p>
      <w:pPr>
        <w:spacing w:after="0" w:line="9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 Accounting — Summary of Adoption Impact. </w:t>
      </w:r>
      <w:r>
        <w:rPr>
          <w:rFonts w:ascii="Times New Roman" w:cs="Times New Roman" w:eastAsia="Times New Roman" w:hAnsi="Times New Roman"/>
          <w:sz w:val="18"/>
          <w:szCs w:val="18"/>
          <w:color w:val="auto"/>
        </w:rPr>
        <w:t>Effective January 1, 2019, the Company adopted new guidance on the recognition,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and disclosure of leases (commonly referred to as "ASC 842" or the "new lease standard").</w:t>
      </w:r>
    </w:p>
    <w:p>
      <w:pPr>
        <w:spacing w:after="0" w:line="28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new lease standard requires lessees to recognize a lease liability, initially measured at the present value of the lease payments for all leases, and a corresponding right-of-use ("ROU") asset. The accounting for lessors remained largely unchanged from previous guidance.</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Due to the recognition of the lease liability and a corresponding ROU asset, the new lease standard had a material impact on the Company's condensed consolidated balance sheet. Additionally, certain amounts related to our lessee arrangements that were previously reported separately have been de-recognized and reclassified into "Operating lease right-of-use assets" on the Company's condensed consolidated balance sheet. These amounts include (1) the Company's liability related to straight-line expense formerly referred to as "Deferred ground lease payable" and previously included in "Other accrued liabilities" and "Other liabilities," (2) prepaid rent expense previously included in "Prepaid expenses" and "Long-term prepaid rent and other assets, net," (3) below market leases previously included in "Other intangible assets, net," and (4) above market leases previously included in "Other liabilities."</w:t>
      </w:r>
    </w:p>
    <w:p>
      <w:pPr>
        <w:spacing w:after="0" w:line="14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Notwithstanding the material impact to the Company's condensed consolidated balance sheet, the Company's adoption of the new lease standard did not have a material impact on the Company's condensed consolidated statement of operations or statement of cash flows. Additionally, the adoption of this guidance had no impact on the Company's operating practices, cash flows, contractual arrangements, or debt agreements (including compliance with any applicable covenants).</w:t>
      </w:r>
    </w:p>
    <w:p>
      <w:pPr>
        <w:spacing w:after="0" w:line="313"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i w:val="1"/>
          <w:iCs w:val="1"/>
          <w:color w:val="auto"/>
        </w:rPr>
        <w:t>Lease Accounting</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 adopted the new lease standard using a modified retrospective approach as of the effective date (i.e.,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2019), without adjusting the comparative periods. The Company's adoption of the new lease standard did not result in a cumulative-effect adjustment being recognized to the opening balance of retained earnings. The new lease standard provides a package of practical expedients, whereby companies can elect not to reassess (1) whether existing contracts contain leases under the new definition of a lease, (2) lease classification for expired or existing leases and (3) whether previously capitalized initial direct costs would qualify for capitalization under ASC 842. The Company elected the package of practical expedients upon adoption.</w:t>
      </w:r>
    </w:p>
    <w:p>
      <w:pPr>
        <w:spacing w:after="0" w:line="30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evaluates whether a contract meets the definition of a lease whenever a contract grants a party with the right to control the use of an identified asset for a period of time in exchange for consideration. To the extent the identified asset is able to be shared among multiple parties, the Company has determined that one party does not have control of the identified asset and the contract is not considered a lease.</w:t>
      </w:r>
    </w:p>
    <w:p>
      <w:pPr>
        <w:spacing w:after="0" w:line="120"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i w:val="1"/>
          <w:iCs w:val="1"/>
          <w:color w:val="auto"/>
        </w:rPr>
        <w:t>Lease Accounting</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i w:val="1"/>
          <w:iCs w:val="1"/>
          <w:color w:val="auto"/>
        </w:rPr>
        <w:t xml:space="preserve">Lessee. </w:t>
      </w:r>
      <w:r>
        <w:rPr>
          <w:rFonts w:ascii="Times New Roman" w:cs="Times New Roman" w:eastAsia="Times New Roman" w:hAnsi="Times New Roman"/>
          <w:sz w:val="18"/>
          <w:szCs w:val="18"/>
          <w:color w:val="auto"/>
        </w:rPr>
        <w:t>The Company's lessee arrangements primarily consist of ground leases for land under towers. Ground leases for land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to each site, generally contain an initial term of five to 10 years and are renewable (and cancelable after a notice period) at the Company's option. The Company also enters into term easements and ground leases in which it prepays the entire term.</w:t>
      </w:r>
    </w:p>
    <w:p>
      <w:pPr>
        <w:spacing w:after="0" w:line="11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majority of the Company's lease agreements have certain termination rights that provide for cancellation after a notice period and multiple renewal options at the Company's option. The Company includes renewal option periods in its calculation of the estimated lease term when it determines that the options are reasonably certain to be exercised. When such renewal options are deemed to be reasonably certain, the estimated lease term determined under ASC 842 will be greater than the non-cancelable term of the contractual arrangement. Although certain renewal periods are included in the estimated lease term, the Company would have the ability to terminate or elect to not renew a particular lease if business conditions warrant such a decision.</w:t>
      </w:r>
    </w:p>
    <w:p>
      <w:pPr>
        <w:spacing w:after="0" w:line="13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classifies its lessee arrangements at inception as either operating leases or finance leases. A lease is classified as a finance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 or (5) the underlying asset is of such a specialized nature that it is expected to have no alternative use to the lessor at the end of the lease term. A lease is classified as an operating lease if none of the five criteria described above for finance lease classification is met.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31"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39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ROU assets associated with operating leases are included in "Operating lease right-of-use assets" on the Company's condensed consolidated balance sheet. Current and long-term portions of lease liabilities related to operating leases are included in "Current portion of operating lease liabilities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third parties," "Current portion of operating lease liabilities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related parties," "Operating lease liabilities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third parties" and "Operating lease liabilities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related parties" on the Company's condensed consolidated balance sheet. ROU assets represent the Company's right to use an underlying asset for the lease term and lease liabilities represent the Company's present value of its future lease payments. In assessing its leases and determining its lease liability at lease commencement or upon modification, the Company was not able to readily determine the rate implicit for its lessee arrangements, and thus has used CCIC's incremental borrowing rate on a collateralized basis to determine the present value of the lease payments. The Company's ROU assets are measured as the balance of the lease liability plus any prepaid or accrued lease payments and any unamortized initial direct costs. Operating lease expenses are recognized on a ratable basis, regardless of whether the payment terms require the Company to make payments annually, quarterly, monthly, or for the entire term in advance. Certain of the Company's ground lease agreements contain fixed escalation clauses (such as fixed dollar or fixed percentage increases) or inflation-based escalation clauses (such as those tied to the change in CPI). If the payment terms include fixed escalator provisions, the effect of such increases is recognized on a straight-line basis. The Company calculates the straight-line expense over the contract's estimated lease term, including any renewal option periods that the Company deems reasonably certain to be exercised.</w:t>
      </w:r>
    </w:p>
    <w:p>
      <w:pPr>
        <w:spacing w:after="0" w:line="13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Lease agreements may also contain provisions for a contingent payment based on (1) the revenues derived from the communications infrastructure located on the leased asset or (2) the change in CPI. The Company's contingent payments are considered variable lease payments and are (1) not included in the initial measurement of the ROU asset or lease liability due to the uncertainty of the payment amount and (2) recorded as expense in the period such contingencies are resolved.</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ROU assets associated with finance leases are included in "Property and equipment, net" on the Company's condensed consolidated balance sheet. If applicable, the Company measures the lease liability for finance leases using the effective interest method. The initial lease liability is increased to reflect interest on the liability and decreased to reflect payments made during the period. Interest on the lease liability is determined each period during the lease term as the amount that results in a constant periodic discount rate on the remaining balance of the liability. The Company measures ROU assets for finance leases on a ratable basis over the applicable lease term.</w:t>
      </w:r>
    </w:p>
    <w:p>
      <w:pPr>
        <w:spacing w:after="0" w:line="12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i w:val="1"/>
          <w:iCs w:val="1"/>
          <w:color w:val="auto"/>
        </w:rPr>
        <w:t>Lease Accounting</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i w:val="1"/>
          <w:iCs w:val="1"/>
          <w:color w:val="auto"/>
        </w:rPr>
        <w:t xml:space="preserve">Lessor. </w:t>
      </w:r>
      <w:r>
        <w:rPr>
          <w:rFonts w:ascii="Times New Roman" w:cs="Times New Roman" w:eastAsia="Times New Roman" w:hAnsi="Times New Roman"/>
          <w:sz w:val="18"/>
          <w:szCs w:val="18"/>
          <w:color w:val="auto"/>
        </w:rPr>
        <w:t>The Company's lessor arrangements primarily include contracts for dedicated space on its communications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classifies its leases at inception as operating, direct financing or sales-type leases. A lease is classified as a sales-type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w:t>
      </w:r>
    </w:p>
    <w:p>
      <w:pPr>
        <w:spacing w:after="0" w:line="1" w:lineRule="exact"/>
        <w:rPr>
          <w:sz w:val="20"/>
          <w:szCs w:val="20"/>
          <w:color w:val="auto"/>
        </w:rPr>
      </w:pPr>
    </w:p>
    <w:p>
      <w:pPr>
        <w:jc w:val="both"/>
        <w:ind w:firstLine="8"/>
        <w:spacing w:after="0" w:line="252"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sum of the lease payments equals or exceeds substantially all of the fair value of the underlying assets, or (5) the underlying asset is of such a specialized nature that it is expected to have no alternative use to the lessor at the end of the lease term. Furthermore, when none of the above criteria is met, a lease is classified as a direct financing lease if both of the following criteria are met: (1) the present value of the of the sum of the lease payments and any residual value guaranteed by the lessee that is not already reflected in the lease payments equals or exceeds the fair value of the underlying asset and (2) it is probable that the lessor will collect the lease payments plus any amount necessary to satisfy a residual value guarantee. A lease is classified as an operating lease if it does not qualify as a sales-type or direct financing lease. Currently, the Company classifies all of its lessor arrangements as operating leases.</w:t>
      </w:r>
    </w:p>
    <w:p>
      <w:pPr>
        <w:spacing w:after="0" w:line="13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Site rental revenues from the Company’s lessor arrangements are recognized on a straight-line, ratable basis over the fixed, non-cancelable term of the relevant contract, regardless of whether the payments from the tenant are received in equal monthly amounts during the life of a contract. Certain of the Company's contracts contain fixed escalation clauses (such as fixed-dollar or fixed-percentage increases) or inflation-based escalation clauses (such as those tied to the change in CPI). If the payment terms call for fixed elements, such as fixed escalations, upfront payments, or rent-free periods, the rental revenue is recognized on a straight-line basis over the fixed, non-cancelable term of the agreement. When calculating straight-line site rental revenues, the Company considers all fixed elements of tenant contractual escalation provisions.</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8 for further information.</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No new accounting pronouncements issued but not yet adopted are expected to have a material impact on the Company's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31"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29"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outstanding balance of the 3.849% Secured Notes due April 2023 as of September 30, 2019 and December 31, 2018 was $995 million and $994 million, respectively.</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Financing Costs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interest expense and amortization of deferred financing costs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on debt obligations</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9,623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28,868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28,868</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1,038</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29,906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29,906</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Further, in connection with its role as Manager, CCUSA may make certain modifications to the Company's towers.</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CCUSA may perform installation services on the Company's towers, for which the Company is not a party to any agreement and for which no operating results are reflected herein.</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part of the CCIC strategy to obtain long-term control of the land under its towers, affiliates of the Company have acquired rights to land under the Company's towers. These affiliates then lease the land to the Company. Under such circumstances, the Company's obligation typically continues with the same or similar economic terms as the contract for the land that existed prior to an affiliate acquiring rights to such land. As of September 30, 2019, approximately 30% of the Company's towers were located on land which was controlled by an affiliate. Also, the Company receives site rental revenue from affiliates for land controlled by the Company on which affiliates have towers and pays ground rent expense to affiliates for land owned by affiliates on which the Company has towers.</w:t>
      </w:r>
    </w:p>
    <w:p>
      <w:pPr>
        <w:spacing w:after="0" w:line="134"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For the nine months ended September 30, 2019 and 2018, the Company recorded equity distributions of $225.8 million and $238.7 million, respectively, reflecting distributions to its member. Cash on hand in excess of the amount that is required by the Management Agreement has been, and is expected to continue to be, distributed to the Company's parent company. As of September 30, 2019 and 2018, other than the amounts of its ROU assets and operating lease liabilities related to land leased from affiliates of the Company reflected in "Operating lease right-of-use assets," "Current portion of operating lease liabilities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related parties" and "Operating lease liabilities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related parties" on the Company's condensed consolidated balance sheet, the Company had no material related party assets or liabilities on its condensed consolidated balance sheet.</w:t>
      </w:r>
    </w:p>
    <w:p>
      <w:pPr>
        <w:spacing w:after="0" w:line="339"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included in the CCIC REIT.</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nine months ended September 30, 2019 and 2018, the Company's effective tax rate differed from the federal statutory rate predominately due to</w:t>
      </w:r>
    </w:p>
    <w:p>
      <w:pPr>
        <w:spacing w:after="0" w:line="27"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CCIC's REIT status, including the dividends paid deduction and (2) state taxes.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31"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29"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applicable. Since December 31, 2018, there have not been any changes in the Company's valuation techniques used to measure fair values. The estimated fair values of the Company's financial instruments, along with the carrying amounts of the related assets and liabilities, are as follows:</w:t>
      </w:r>
    </w:p>
    <w:p>
      <w:pPr>
        <w:spacing w:after="0" w:line="353"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in Fair</w:t>
            </w: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49"/>
        </w:trPr>
        <w:tc>
          <w:tcPr>
            <w:tcW w:w="530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860" w:type="dxa"/>
            <w:vAlign w:val="bottom"/>
          </w:tcPr>
          <w:p>
            <w:pPr>
              <w:jc w:val="right"/>
              <w:ind w:right="34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8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9"/>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18,486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18,486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18,707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18,707</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Debt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995,085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1,047,800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994,047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990,600</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condensed consolidated financial position or results of operations. In addition, CCIC, through its subsidiaries (including the Company), has the option to purchase in 2037 all (but not less than all) of the Sprint Sites, which represent approximately 68% of the Company's sites. CCIC has no obligation to exercise the purchase option.</w:t>
      </w:r>
    </w:p>
    <w:p>
      <w:pPr>
        <w:spacing w:after="0" w:line="346"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3"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Lessor Tenant Leases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is a summary of the rental cash payments owed to the Company, as a lessor, by tenants pursuant to contractual agreements in effect as of September 30, 2019. Generally, the Company's leases with its tenants provide for (1) annual escalations, (2) multiple renewal periods at the tenant's option and (3) only limited termination rights at the applicable tenant's option through the current term. The tenants' rental payments included in the table below are through the current terms with a maximum current term of 20 years and do not assume exercise of tenant renewal options.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4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Ending December</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22"/>
                <w:szCs w:val="22"/>
                <w:color w:val="auto"/>
              </w:rPr>
            </w:pPr>
          </w:p>
        </w:tc>
        <w:tc>
          <w:tcPr>
            <w:tcW w:w="9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5"/>
        </w:trPr>
        <w:tc>
          <w:tcPr>
            <w:tcW w:w="19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Tenant leases</w:t>
            </w:r>
            <w:r>
              <w:rPr>
                <w:rFonts w:ascii="Times New Roman" w:cs="Times New Roman" w:eastAsia="Times New Roman" w:hAnsi="Times New Roman"/>
                <w:sz w:val="21"/>
                <w:szCs w:val="21"/>
                <w:color w:val="auto"/>
                <w:vertAlign w:val="superscript"/>
              </w:rPr>
              <w:t>(a)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166,906</w:t>
            </w:r>
          </w:p>
        </w:tc>
        <w:tc>
          <w:tcPr>
            <w:tcW w:w="1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675,608</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672,744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658,638</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515,992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1,810,523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4,500,411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leases with related parties. See note 4.</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31"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3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Lessee Operating Leases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the Company's lease expense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78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7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60" w:type="dxa"/>
            <w:vAlign w:val="bottom"/>
          </w:tcPr>
          <w:p>
            <w:pPr>
              <w:spacing w:after="0"/>
              <w:rPr>
                <w:sz w:val="23"/>
                <w:szCs w:val="23"/>
                <w:color w:val="auto"/>
              </w:rPr>
            </w:pPr>
          </w:p>
        </w:tc>
        <w:tc>
          <w:tcPr>
            <w:tcW w:w="17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69"/>
        </w:trPr>
        <w:tc>
          <w:tcPr>
            <w:tcW w:w="7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 cost</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spacing w:after="0"/>
              <w:rPr>
                <w:sz w:val="23"/>
                <w:szCs w:val="23"/>
                <w:color w:val="auto"/>
              </w:rPr>
            </w:pPr>
          </w:p>
        </w:tc>
        <w:tc>
          <w:tcPr>
            <w:tcW w:w="1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780" w:type="dxa"/>
            <w:vAlign w:val="bottom"/>
            <w:tcBorders>
              <w:top w:val="single" w:sz="8" w:color="auto"/>
            </w:tcBorders>
            <w:shd w:val="clear" w:color="auto" w:fill="CCEEFF"/>
          </w:tcPr>
          <w:p>
            <w:pPr>
              <w:spacing w:after="0"/>
              <w:rPr>
                <w:sz w:val="23"/>
                <w:szCs w:val="23"/>
                <w:color w:val="auto"/>
              </w:rPr>
            </w:pPr>
          </w:p>
        </w:tc>
      </w:tr>
      <w:tr>
        <w:trPr>
          <w:trHeight w:val="270"/>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expense</w:t>
            </w:r>
            <w:r>
              <w:rPr>
                <w:rFonts w:ascii="Times New Roman" w:cs="Times New Roman" w:eastAsia="Times New Roman" w:hAnsi="Times New Roman"/>
                <w:sz w:val="21"/>
                <w:szCs w:val="21"/>
                <w:color w:val="auto"/>
                <w:vertAlign w:val="superscript"/>
              </w:rPr>
              <w:t>(b)</w:t>
            </w:r>
          </w:p>
        </w:tc>
        <w:tc>
          <w:tcPr>
            <w:tcW w:w="28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30,826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90,027</w:t>
            </w:r>
          </w:p>
        </w:tc>
      </w:tr>
      <w:tr>
        <w:trPr>
          <w:trHeight w:val="27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Variable lease expense</w:t>
            </w:r>
            <w:r>
              <w:rPr>
                <w:rFonts w:ascii="Times New Roman" w:cs="Times New Roman" w:eastAsia="Times New Roman" w:hAnsi="Times New Roman"/>
                <w:sz w:val="21"/>
                <w:szCs w:val="21"/>
                <w:color w:val="auto"/>
                <w:vertAlign w:val="superscript"/>
              </w:rPr>
              <w:t>(c)</w:t>
            </w:r>
          </w:p>
        </w:tc>
        <w:tc>
          <w:tcPr>
            <w:tcW w:w="28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8,458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27,080</w:t>
            </w:r>
          </w:p>
        </w:tc>
      </w:tr>
      <w:tr>
        <w:trPr>
          <w:trHeight w:val="244"/>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lease expense</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39,284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117,107</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leases with related parties. See note 4.</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operating lease expense related to its ROU assets for both the three and nine months ended September 30, 2019.</w:t>
      </w:r>
    </w:p>
    <w:p>
      <w:pPr>
        <w:spacing w:after="0" w:line="1" w:lineRule="exact"/>
        <w:rPr>
          <w:rFonts w:ascii="Times New Roman" w:cs="Times New Roman" w:eastAsia="Times New Roman" w:hAnsi="Times New Roman"/>
          <w:sz w:val="14"/>
          <w:szCs w:val="14"/>
          <w:color w:val="auto"/>
        </w:rPr>
      </w:pPr>
    </w:p>
    <w:p>
      <w:pPr>
        <w:ind w:left="340" w:hanging="332"/>
        <w:spacing w:after="0" w:line="258" w:lineRule="auto"/>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contingent payments for operating leases (such as payments based on revenues derived from the communications infrastructure located on the leased asset) for both the three and nine months ended September 30, 2019. Such contingencies are recognized as expense in the period they are resolved.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Lessee Finance Leases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finance leases are related to the towers subject to prepaid master lease agreements with Sprint and are recorded as "Property and equipment, net" on the condensed consolidated balance sheet. See note 1 for further discussion of the Company's prepaid master lease agreements and note 2 for further information regarding the Company's adoption method of the new lease standard. Finance leases and associated leasehold improvements related to gross property and equipment and accumulated depreciation were $979 million and $635 million, respectively, as of September 30, 2019. For the three and nine months ended September 30, 2019, the Company recorded $10 million and $31 million to "Depreciation, amortization and accretion" related to finance leases, respectively.</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Lessee Information</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Company's weighted-average remaining lease term and weighted-average discount rate for operating leases were 16 years and 4.4%,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is a summary of the Company's maturities of operating lease liabilities as of September 30,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Three months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ending December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76"/>
        </w:trPr>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31,</w:t>
            </w: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28"/>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undiscounted</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Less: Imputed</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 operating</w:t>
            </w:r>
          </w:p>
        </w:tc>
      </w:tr>
      <w:tr>
        <w:trPr>
          <w:trHeight w:val="176"/>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5"/>
                <w:szCs w:val="15"/>
                <w:color w:val="auto"/>
              </w:rPr>
            </w:pP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5"/>
                <w:szCs w:val="15"/>
                <w:color w:val="auto"/>
              </w:rPr>
            </w:pPr>
          </w:p>
        </w:tc>
        <w:tc>
          <w:tcPr>
            <w:tcW w:w="92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5"/>
                <w:szCs w:val="15"/>
                <w:color w:val="auto"/>
              </w:rPr>
            </w:pP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900" w:type="dxa"/>
            <w:vAlign w:val="bottom"/>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lease payments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lease liabilities</w:t>
            </w:r>
          </w:p>
        </w:tc>
      </w:tr>
      <w:tr>
        <w:trPr>
          <w:trHeight w:val="270"/>
        </w:trPr>
        <w:tc>
          <w:tcPr>
            <w:tcW w:w="1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leases</w:t>
            </w:r>
            <w:r>
              <w:rPr>
                <w:rFonts w:ascii="Times New Roman" w:cs="Times New Roman" w:eastAsia="Times New Roman" w:hAnsi="Times New Roman"/>
                <w:sz w:val="21"/>
                <w:szCs w:val="21"/>
                <w:color w:val="auto"/>
                <w:vertAlign w:val="superscript"/>
              </w:rPr>
              <w:t>(a)(b)</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color w:val="auto"/>
              </w:rPr>
              <w:t>25,842</w:t>
            </w:r>
          </w:p>
        </w:tc>
        <w:tc>
          <w:tcPr>
            <w:tcW w:w="12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  107,212</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6"/>
                <w:szCs w:val="16"/>
                <w:color w:val="auto"/>
              </w:rPr>
              <w:t>$  107,256</w:t>
            </w:r>
          </w:p>
        </w:tc>
        <w:tc>
          <w:tcPr>
            <w:tcW w:w="12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  106,786</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  106,235</w:t>
            </w: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  1,252,978</w:t>
            </w:r>
          </w:p>
        </w:tc>
        <w:tc>
          <w:tcPr>
            <w:tcW w:w="10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6"/>
                <w:szCs w:val="16"/>
                <w:color w:val="auto"/>
              </w:rPr>
              <w:t>$  1,706,309</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(505,011)</w:t>
            </w:r>
          </w:p>
        </w:tc>
        <w:tc>
          <w:tcPr>
            <w:tcW w:w="10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  1,201,298</w:t>
            </w:r>
          </w:p>
        </w:tc>
      </w:tr>
    </w:tbl>
    <w:p>
      <w:pPr>
        <w:spacing w:after="0" w:line="193" w:lineRule="exact"/>
        <w:rPr>
          <w:sz w:val="20"/>
          <w:szCs w:val="20"/>
          <w:color w:val="auto"/>
        </w:rPr>
      </w:pPr>
    </w:p>
    <w:p>
      <w:pPr>
        <w:ind w:left="340" w:hanging="332"/>
        <w:spacing w:after="0" w:line="253" w:lineRule="auto"/>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Company's contingent payments for operating leases (such as payments based on revenues derived from the communications infrastructure located on the leased asset) as such arrangements are excluded from the Company's operating lease liability. Such contingencies are recognized as expense in the period they are resolved.</w:t>
      </w:r>
    </w:p>
    <w:p>
      <w:pPr>
        <w:ind w:left="340" w:hanging="332"/>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leases with related parties. See note 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Comparative Information from 2018 Form 10-K</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adopted ASC 842 using a modified retrospective approach as of the effective date, without adjusting the comparative periods, and therefore, as required by ASC 842, has included the following comparative information from note 10 to the consolidated financial statements in its 2018 Form 10-K.</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operating lease payments included in the table below include payments for certain renewal periods at the Company's option that are deemed reasonably assured to be exercised and an estimate of contingent payments based on revenues and gross margins derived from existing tenant leases.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2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142,671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144,069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144,390</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142,144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140,193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1,697,442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2,410,909</w:t>
            </w:r>
          </w:p>
        </w:tc>
      </w:tr>
    </w:tbl>
    <w:p>
      <w:pPr>
        <w:spacing w:after="0" w:line="193"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leases with related parties. See note 4.</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31" w:right="2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0"/>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820" w:type="dxa"/>
            <w:vAlign w:val="bottom"/>
            <w:tcBorders>
              <w:bottom w:val="single" w:sz="8" w:color="auto"/>
            </w:tcBorders>
            <w:gridSpan w:val="5"/>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0" w:type="dxa"/>
            <w:vAlign w:val="bottom"/>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payments related to operating lease liabilities</w:t>
            </w:r>
            <w:r>
              <w:rPr>
                <w:rFonts w:ascii="Times New Roman" w:cs="Times New Roman" w:eastAsia="Times New Roman" w:hAnsi="Times New Roman"/>
                <w:sz w:val="21"/>
                <w:szCs w:val="21"/>
                <w:color w:val="auto"/>
                <w:vertAlign w:val="superscript"/>
              </w:rPr>
              <w:t>(a)(b)</w:t>
            </w:r>
          </w:p>
        </w:tc>
        <w:tc>
          <w:tcPr>
            <w:tcW w:w="760" w:type="dxa"/>
            <w:vAlign w:val="bottom"/>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79,643</w:t>
            </w:r>
          </w:p>
        </w:tc>
        <w:tc>
          <w:tcPr>
            <w:tcW w:w="10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4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19,246</w:t>
            </w:r>
          </w:p>
        </w:tc>
      </w:tr>
      <w:tr>
        <w:trPr>
          <w:trHeight w:val="237"/>
        </w:trPr>
        <w:tc>
          <w:tcPr>
            <w:tcW w:w="40" w:type="dxa"/>
            <w:vAlign w:val="bottom"/>
          </w:tcPr>
          <w:p>
            <w:pPr>
              <w:spacing w:after="0"/>
              <w:rPr>
                <w:sz w:val="20"/>
                <w:szCs w:val="20"/>
                <w:color w:val="auto"/>
              </w:rPr>
            </w:pP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operating, investing and financing activities:</w:t>
            </w: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New ROU assets obtained in exchange for operating lease liabilities</w:t>
            </w:r>
            <w:r>
              <w:rPr>
                <w:rFonts w:ascii="Times New Roman" w:cs="Times New Roman" w:eastAsia="Times New Roman" w:hAnsi="Times New Roman"/>
                <w:sz w:val="21"/>
                <w:szCs w:val="21"/>
                <w:color w:val="auto"/>
                <w:vertAlign w:val="superscript"/>
              </w:rPr>
              <w:t>(b)</w:t>
            </w:r>
          </w:p>
        </w:tc>
        <w:tc>
          <w:tcPr>
            <w:tcW w:w="7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71,578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cash payments related to contingent payment pursuant to operating leases, which are recorded as expense in the period such contingencies are resolved.</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leases with related parties. See note 4.</w:t>
      </w:r>
    </w:p>
    <w:p>
      <w:pPr>
        <w:spacing w:after="0" w:line="364" w:lineRule="exact"/>
        <w:rPr>
          <w:sz w:val="20"/>
          <w:szCs w:val="20"/>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Guarantor Subsidiaries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CCL has no independent assets or operations. The 3.849% Secured Notes are guaranteed by all subsidiaries of CCL, each of which is a wholly-owned subsidiary of CCL, other than Crown Castle GS III Corp., which is a co-issuer of the 2012 Secured Notes and a wholly-owned finance subsidiary. Such guarantees are full and unconditional and joint and several.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31" w:right="239" w:bottom="1440" w:gutter="0" w:footer="0" w:header="0"/>
        </w:sectPr>
      </w:pPr>
    </w:p>
    <w:bookmarkStart w:id="13" w:name="page14"/>
    <w:bookmarkEnd w:id="13"/>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231F20"/>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the response to Part I, Item 1 of this report and the consolidated financial statements of the Company including the related notes and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xml:space="preserve"> ("MD&amp;A") included in our 2018 Form 10-K. Capitalized terms used but not defined in this Form 10-Q have the same meaning given to them in our 2018 Form 10-K. Unless this Quarterly Report on Form 10-Q indicates otherwise or the context requires, the terms "we," "our," "our company," "the company," or "us" as used herein refer to CC Holdings GS V LLC and its subsidiaries.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Overview</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own, lease or manage sites that are geographically dispersed throughout the United States. The vast majority of our site rental revenues is of a recurring nature and is subject to long-term contracts with our tenants.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Fundamentals and Results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are certain highlights of our business fundamentals and results as of and for the nine months ended September 30, 2019.</w:t>
      </w:r>
    </w:p>
    <w:p>
      <w:pPr>
        <w:spacing w:after="0" w:line="27" w:lineRule="exact"/>
        <w:rPr>
          <w:sz w:val="20"/>
          <w:szCs w:val="20"/>
          <w:color w:val="auto"/>
        </w:rPr>
      </w:pP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resulting from the increasing demand for wireless data</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U.S. wireless carriers will continue their focus on improving network quality and expanding capacity (including through 5G initiatives) by adding additional antennas or other equipment on our towers.</w:t>
      </w:r>
    </w:p>
    <w:p>
      <w:pPr>
        <w:jc w:val="both"/>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existing and potential new tenant demand for our towers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and (6) the availability of additional spectrum.</w:t>
      </w:r>
    </w:p>
    <w:p>
      <w:pPr>
        <w:spacing w:after="0" w:line="1"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towers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structure</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CCIC operates as a REIT and, as its indirect subsidiary, our assets and operations are included in the</w:t>
      </w:r>
    </w:p>
    <w:p>
      <w:pPr>
        <w:spacing w:after="0" w:line="9"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CCIC REIT.</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(other than Crown Castle GS III Corp.) were organized specifically to own, lease and manage certain communications infrastructure, such as towers or other structures, and have no employees.</w:t>
      </w: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rental revenues under long-term tenant contracts</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terms of five to 15 years for site rental revenues derived from tenants, with contractual escalations and multiple renewal periods at the option of the tenant of five to 10 years each.</w:t>
      </w:r>
    </w:p>
    <w:p>
      <w:pPr>
        <w:jc w:val="both"/>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remaining term (calculated by weighting the remaining term for each contract by the related site rental revenue) of approximately six years, exclusive of renewals at the tenants' option, currently representing approximately $4.5 billion of expected future cash inflows.</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our revenues from large wireless carriers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site rental revenues were derived from Sprint, AT&amp;T, T-Mobile and Verizon Wireless.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land interests under our towers under long-term control</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80% and more than 50% of our sites are under our control for greater than 10 and 20 years, respectively. The aforementioned percentages include towers that reside on land interests that are owned by us, including fee interests and perpetual easements.</w:t>
      </w:r>
    </w:p>
    <w:p>
      <w:pPr>
        <w:jc w:val="both"/>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of our site rental cost of operations represents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fixed tower operating costs</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sustaining capital expenditure requirements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represented approximately 1% of site rental revenues.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60" w:right="239" w:bottom="1440" w:gutter="0" w:footer="0" w:header="0"/>
        </w:sectPr>
      </w:pPr>
    </w:p>
    <w:bookmarkStart w:id="14" w:name="page15"/>
    <w:bookmarkEnd w:id="14"/>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rate debt with no short-term maturities</w:t>
      </w:r>
    </w:p>
    <w:p>
      <w:pPr>
        <w:spacing w:after="0" w:line="27"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consists of $1.0 billion aggregate principal amount of 3.849% Secured Notes. See note 3 to our condensed consolidated financial statements.</w:t>
      </w: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cash flows from operations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cash provided by operating activities was $290.0 million. See </w:t>
      </w:r>
      <w:r>
        <w:rPr>
          <w:rFonts w:ascii="Times New Roman" w:cs="Times New Roman" w:eastAsia="Times New Roman" w:hAnsi="Times New Roman"/>
          <w:sz w:val="18"/>
          <w:szCs w:val="18"/>
          <w:i w:val="1"/>
          <w:iCs w:val="1"/>
          <w:color w:val="auto"/>
        </w:rPr>
        <w:t>"Item 2. MD&amp;A—Liquidity and Capital Resources."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of our results of operations should be read in conjunction with our condensed consolidated financial statements and our 2018 Form 10-K. The following discussion of our results of operations is based on our condensed consolidated financial statements prepared in accordance with GAAP which requires us to make estimates and judgments that affect the reported amounts. See </w:t>
      </w:r>
      <w:r>
        <w:rPr>
          <w:rFonts w:ascii="Times New Roman" w:cs="Times New Roman" w:eastAsia="Times New Roman" w:hAnsi="Times New Roman"/>
          <w:sz w:val="18"/>
          <w:szCs w:val="18"/>
          <w:i w:val="1"/>
          <w:iCs w:val="1"/>
          <w:color w:val="auto"/>
        </w:rPr>
        <w:t>"Item 2. MD&amp;A—Accounting and Reporting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Policies and Estimates" </w:t>
      </w:r>
      <w:r>
        <w:rPr>
          <w:rFonts w:ascii="Times New Roman" w:cs="Times New Roman" w:eastAsia="Times New Roman" w:hAnsi="Times New Roman"/>
          <w:sz w:val="18"/>
          <w:szCs w:val="18"/>
          <w:color w:val="auto"/>
        </w:rPr>
        <w:t>herein and note 2 to our 2018 Form 10-K.</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Highlights of our results of operations for the three months ended September 30, 2019 and 2018 are depicted below.</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0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5"/>
        </w:trPr>
        <w:tc>
          <w:tcPr>
            <w:tcW w:w="6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4"/>
        </w:trPr>
        <w:tc>
          <w:tcPr>
            <w:tcW w:w="6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60" w:type="dxa"/>
            <w:vAlign w:val="bottom"/>
            <w:gridSpan w:val="4"/>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Site 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171,745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165,108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70"/>
        </w:trPr>
        <w:tc>
          <w:tcPr>
            <w:tcW w:w="6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operations</w:t>
            </w:r>
            <w:r>
              <w:rPr>
                <w:rFonts w:ascii="Times New Roman" w:cs="Times New Roman" w:eastAsia="Times New Roman" w:hAnsi="Times New Roman"/>
                <w:sz w:val="21"/>
                <w:szCs w:val="21"/>
                <w:color w:val="auto"/>
                <w:vertAlign w:val="superscript"/>
              </w:rPr>
              <w:t>(a)(b)</w:t>
            </w:r>
          </w:p>
        </w:tc>
        <w:tc>
          <w:tcPr>
            <w:tcW w:w="180" w:type="dxa"/>
            <w:vAlign w:val="bottom"/>
          </w:tcPr>
          <w:p>
            <w:pPr>
              <w:spacing w:after="0"/>
              <w:rPr>
                <w:sz w:val="23"/>
                <w:szCs w:val="23"/>
                <w:color w:val="auto"/>
              </w:rPr>
            </w:pPr>
          </w:p>
        </w:tc>
        <w:tc>
          <w:tcPr>
            <w:tcW w:w="1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49,286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47,779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7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w:t>
            </w:r>
            <w:r>
              <w:rPr>
                <w:rFonts w:ascii="Times New Roman" w:cs="Times New Roman" w:eastAsia="Times New Roman" w:hAnsi="Times New Roman"/>
                <w:sz w:val="21"/>
                <w:szCs w:val="21"/>
                <w:color w:val="auto"/>
                <w:vertAlign w:val="superscript"/>
              </w:rPr>
              <w:t>(b)</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12,611</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12,207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write-down charges</w:t>
            </w:r>
          </w:p>
        </w:tc>
        <w:tc>
          <w:tcPr>
            <w:tcW w:w="18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52,665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52,333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62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114,562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112,319</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57,183</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52,789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7"/>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17"/>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47,374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42,910</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4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47,272</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42,817</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not meaningful</w:t>
      </w:r>
    </w:p>
    <w:p>
      <w:pPr>
        <w:spacing w:after="0" w:line="17"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related party transactions.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10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5"/>
        </w:trPr>
        <w:tc>
          <w:tcPr>
            <w:tcW w:w="6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4"/>
        </w:trPr>
        <w:tc>
          <w:tcPr>
            <w:tcW w:w="6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2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5"/>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Site 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507,256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492,158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84"/>
        </w:trPr>
        <w:tc>
          <w:tcPr>
            <w:tcW w:w="6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6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of operations</w:t>
            </w:r>
            <w:r>
              <w:rPr>
                <w:rFonts w:ascii="Times New Roman" w:cs="Times New Roman" w:eastAsia="Times New Roman" w:hAnsi="Times New Roman"/>
                <w:sz w:val="21"/>
                <w:szCs w:val="21"/>
                <w:color w:val="auto"/>
                <w:vertAlign w:val="superscript"/>
              </w:rPr>
              <w:t>(a)(b)</w:t>
            </w:r>
          </w:p>
        </w:tc>
        <w:tc>
          <w:tcPr>
            <w:tcW w:w="180" w:type="dxa"/>
            <w:vAlign w:val="bottom"/>
          </w:tcPr>
          <w:p>
            <w:pPr>
              <w:spacing w:after="0"/>
              <w:rPr>
                <w:sz w:val="23"/>
                <w:szCs w:val="23"/>
                <w:color w:val="auto"/>
              </w:rPr>
            </w:pPr>
          </w:p>
        </w:tc>
        <w:tc>
          <w:tcPr>
            <w:tcW w:w="15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146,422</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142,947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70"/>
        </w:trPr>
        <w:tc>
          <w:tcPr>
            <w:tcW w:w="6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Management fee</w:t>
            </w:r>
            <w:r>
              <w:rPr>
                <w:rFonts w:ascii="Times New Roman" w:cs="Times New Roman" w:eastAsia="Times New Roman" w:hAnsi="Times New Roman"/>
                <w:sz w:val="21"/>
                <w:szCs w:val="21"/>
                <w:color w:val="auto"/>
                <w:vertAlign w:val="superscript"/>
              </w:rPr>
              <w:t>(b)</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37,238</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36,227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write-down charges</w:t>
            </w:r>
          </w:p>
        </w:tc>
        <w:tc>
          <w:tcPr>
            <w:tcW w:w="180" w:type="dxa"/>
            <w:vAlign w:val="bottom"/>
          </w:tcPr>
          <w:p>
            <w:pPr>
              <w:spacing w:after="0"/>
              <w:rPr>
                <w:sz w:val="20"/>
                <w:szCs w:val="20"/>
                <w:color w:val="auto"/>
              </w:rPr>
            </w:pPr>
          </w:p>
        </w:tc>
        <w:tc>
          <w:tcPr>
            <w:tcW w:w="15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344</w:t>
            </w:r>
          </w:p>
        </w:tc>
        <w:tc>
          <w:tcPr>
            <w:tcW w:w="132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157,436</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157,765</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7"/>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341,471</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337,283</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33"/>
        </w:trPr>
        <w:tc>
          <w:tcPr>
            <w:tcW w:w="6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165,785</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154,875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(29,906)</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33"/>
        </w:trPr>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445</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17"/>
        </w:trPr>
        <w:tc>
          <w:tcPr>
            <w:tcW w:w="6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136,324</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125,032</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44"/>
        </w:trPr>
        <w:tc>
          <w:tcPr>
            <w:tcW w:w="6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136,017</w:t>
            </w:r>
          </w:p>
        </w:tc>
        <w:tc>
          <w:tcPr>
            <w:tcW w:w="2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124,753</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not meaningful</w:t>
      </w:r>
    </w:p>
    <w:p>
      <w:pPr>
        <w:spacing w:after="0" w:line="17"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related party transactions.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Third Quarter 2019 and 2018</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Site rental revenues for the three months ended September 30, 2019 increased by $6.6 million, or 4%, from the same period in the prior year. Site rental revenues were impacted by the following items, inclusive of straight-line accounting: tenant additions across our entire portfolio, renewals or extensions of tenant contracts, escalations and non-renewals of tenant contracts. Tenant additions were influenced by our tenants' ongoing efforts to improve network quality and capacity.</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Operating income for the three months ended September 30, 2019 increased by $4.4 million, or 8%, from the same period in the prior year. The increase in operating income was primarily due to the aforementioned increase in site rental revenues, partially offset by an increase in the cost of operations from the three months ended September 30, 2018.</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and amortization of deferred financing costs for the three months ended September 30, 2019 remained unchanged from the same period in the prior year.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September 30, 2019 was $47.3 million, compared to net income of $42.8 million for the three months ended September 30, 2018. The increase was primarily due to the aforementioned increase in site rental revenues.</w:t>
      </w:r>
    </w:p>
    <w:p>
      <w:pPr>
        <w:spacing w:after="0" w:line="3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First Nine Months 2019 and 2018</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Site rental revenues for the nine months ended September 30, 2019 increased by $15.1 million, or 3%, from the same period in the prior year. The increase in site rental revenues was impacted by the following items, inclusive of straight-line accounting: new tenant additions across our entire portfolio, renewals or extensions of tenant leases, escalations and non-renewal of tenant contracts. Tenant additions were influenced by our tenants' ongoing efforts to improve network quality and capacity.</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Operating income for the nine months ended September 30, 2019 increased by $10.9 million, or 7%, from the same period in the prior year. The increase in operating income was predominately due to the aforementioned increase in site rental revenues, partially offset by an increase in the cost of operations from the nine months ended September 30, 2018.</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and amortization of deferred financing costs for the nine months ended September 30, 2019 remained unchanged from the same period in the prior year.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income for the nine months ended September 30, 2019 was $136.0 million compared to net income of $124.8 million for the nine months ended September 30, 2018. The increase was due primarily to the aforementioned increase in site rental revenues.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0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core business generates revenues under long-term contracts (See</w:t>
      </w:r>
      <w:r>
        <w:rPr>
          <w:rFonts w:ascii="Times New Roman" w:cs="Times New Roman" w:eastAsia="Times New Roman" w:hAnsi="Times New Roman"/>
          <w:sz w:val="18"/>
          <w:szCs w:val="18"/>
          <w:i w:val="1"/>
          <w:iCs w:val="1"/>
          <w:color w:val="auto"/>
        </w:rPr>
        <w:t xml:space="preserve"> "Item 2. MD&amp;A—General Overview"</w:t>
      </w:r>
      <w:r>
        <w:rPr>
          <w:rFonts w:ascii="Times New Roman" w:cs="Times New Roman" w:eastAsia="Times New Roman" w:hAnsi="Times New Roman"/>
          <w:sz w:val="18"/>
          <w:szCs w:val="18"/>
          <w:color w:val="auto"/>
        </w:rPr>
        <w:t>), from the largest U.S. wireless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12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Liquidity Position. </w:t>
      </w:r>
      <w:r>
        <w:rPr>
          <w:rFonts w:ascii="Times New Roman" w:cs="Times New Roman" w:eastAsia="Times New Roman" w:hAnsi="Times New Roman"/>
          <w:sz w:val="18"/>
          <w:szCs w:val="18"/>
          <w:color w:val="auto"/>
        </w:rPr>
        <w:t>The following is a summary of our capitalization and liquidity position as of September 30, 2019:</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6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18,486</w:t>
            </w:r>
          </w:p>
        </w:tc>
      </w:tr>
      <w:tr>
        <w:trPr>
          <w:trHeight w:val="224"/>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408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995,085</w:t>
            </w:r>
          </w:p>
        </w:tc>
      </w:tr>
      <w:tr>
        <w:trPr>
          <w:trHeight w:val="33"/>
        </w:trPr>
        <w:tc>
          <w:tcPr>
            <w:tcW w:w="54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member's equity</w:t>
            </w:r>
          </w:p>
        </w:tc>
        <w:tc>
          <w:tcPr>
            <w:tcW w:w="40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2,343,207</w:t>
            </w:r>
          </w:p>
        </w:tc>
      </w:tr>
      <w:tr>
        <w:trPr>
          <w:trHeight w:val="33"/>
        </w:trPr>
        <w:tc>
          <w:tcPr>
            <w:tcW w:w="544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net cash provided by operating activities should be sufficient to cover our expected capital expenditures.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scheduled contractual debt maturities.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3 to our condensed consolidated financial statements for additional information regarding our debt.</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Summary 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2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for):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37"/>
        </w:trPr>
        <w:tc>
          <w:tcPr>
            <w:tcW w:w="7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289,983</w:t>
            </w:r>
          </w:p>
        </w:tc>
        <w:tc>
          <w:tcPr>
            <w:tcW w:w="120" w:type="dxa"/>
            <w:vAlign w:val="bottom"/>
          </w:tcPr>
          <w:p>
            <w:pPr>
              <w:spacing w:after="0"/>
              <w:rPr>
                <w:sz w:val="20"/>
                <w:szCs w:val="20"/>
                <w:color w:val="auto"/>
              </w:rPr>
            </w:pP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284,368</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5,615</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(12,216)</w:t>
            </w:r>
          </w:p>
        </w:tc>
      </w:tr>
      <w:tr>
        <w:trPr>
          <w:trHeight w:val="237"/>
        </w:trPr>
        <w:tc>
          <w:tcPr>
            <w:tcW w:w="75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12,915</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6,314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net cash provided by operating activities for the first nine months of 2019 of $5.6 million, or 2%, from the first nine months of 2018, was primarily due to growth in cash revenues, including cash escalations that are subject to straight-line accounting, offset by a net decrease from changes in working capital. Changes in working capital contribute to variability in net cash provided by operating activities, largely due to the timing of advanced payments by us and advanced receipts from tenants.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6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capital expenditures include the following:</w:t>
      </w:r>
    </w:p>
    <w:p>
      <w:pPr>
        <w:spacing w:after="0" w:line="63" w:lineRule="exact"/>
        <w:rPr>
          <w:sz w:val="20"/>
          <w:szCs w:val="20"/>
          <w:color w:val="auto"/>
        </w:rPr>
      </w:pPr>
    </w:p>
    <w:p>
      <w:pPr>
        <w:jc w:val="both"/>
        <w:ind w:left="1140" w:hanging="241"/>
        <w:spacing w:after="0" w:line="254"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primarily consist of expansion of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Discretionary capital expenditures also include certain technology-related investments necessary to support and scale future customer demand for our communications infrastructure, and other capital projects. The expansion of existing communications infrastructure to accommodate new leasing typically vary based on, among other factors: (1) the type of communications infrastructure, (2) the scope, volume and mix of work performed on the communications infrastructure, (3) existing capacity prior to installation or (4) changes in structural engineering regulations and standards. Our decisions regarding capital expenditures are influenced by (1) sufficient potential to enhance CCIC's long-term stockholder value, (2) CCIC's availability and cost of capital and (3) CCIC's expected returns on alternative uses of cash, such as payments of dividends and investments.</w:t>
      </w:r>
    </w:p>
    <w:p>
      <w:pPr>
        <w:spacing w:after="0" w:line="27" w:lineRule="exact"/>
        <w:rPr>
          <w:rFonts w:ascii="Times New Roman" w:cs="Times New Roman" w:eastAsia="Times New Roman" w:hAnsi="Times New Roman"/>
          <w:sz w:val="18"/>
          <w:szCs w:val="18"/>
          <w:color w:val="auto"/>
        </w:rPr>
      </w:pPr>
    </w:p>
    <w:p>
      <w:pPr>
        <w:ind w:left="1140" w:right="20" w:hanging="241"/>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consist of maintenance capital expenditures on our sites that enable our tenants' ongoing quiet enjoyment of the site.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Capital expenditures for the nine months ended September 30, 2019 and 2018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2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Discretionary</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59,050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46,105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12,945</w:t>
            </w: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Sustaining</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5,353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6,082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64,403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12,216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net cash flows used for financing activities for the nine months ended September 30, 2019 and 2018 includes the impact from our continued practice of distributing excess cash to our member.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Secured Notes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See our 2018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member.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and Reporting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2019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2018 are described in </w:t>
      </w:r>
      <w:r>
        <w:rPr>
          <w:rFonts w:ascii="Times New Roman" w:cs="Times New Roman" w:eastAsia="Times New Roman" w:hAnsi="Times New Roman"/>
          <w:sz w:val="18"/>
          <w:szCs w:val="18"/>
          <w:i w:val="1"/>
          <w:iCs w:val="1"/>
          <w:color w:val="auto"/>
        </w:rPr>
        <w:t>"Item 7. MD&amp;A—Accounting and Reporting Matters"</w:t>
      </w:r>
      <w:r>
        <w:rPr>
          <w:rFonts w:ascii="Times New Roman" w:cs="Times New Roman" w:eastAsia="Times New Roman" w:hAnsi="Times New Roman"/>
          <w:sz w:val="18"/>
          <w:szCs w:val="18"/>
          <w:color w:val="auto"/>
        </w:rPr>
        <w:t xml:space="preserve"> and in note 2 in our 2018 Form 10-K. See below for our updated critical accounting policies and estimates related to our lessee arrangements following the adoption of the new lease accounting guidance (commonly referred to as "ASC 842" or the "new lease standard") on January 1, 2019. See notes 2 and 8 to our condensed consolidated financial statements for further discussion and information related to the new lease standard.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24" w:right="2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i w:val="1"/>
          <w:iCs w:val="1"/>
          <w:color w:val="auto"/>
        </w:rPr>
        <w:t>Lease Accounting</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i w:val="1"/>
          <w:iCs w:val="1"/>
          <w:color w:val="auto"/>
        </w:rPr>
        <w:t>Lessee</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lessee arrangements primarily consist of ground leases for land under our towers. Ground leases for land are specific to each site and are generally for an initial term of five to 10 years and are renewable (and cancelable after a notice period) at our option. We also enter into term easements and ground leases in which we prepay the entire term. The majority of our lease agreements have certain termination rights that provide for cancellation after a notice period and multiple renewal options at our option. We include certain renewal option periods in the lease term when we determine that the options are reasonably certain to be exercised.</w:t>
      </w:r>
    </w:p>
    <w:p>
      <w:pPr>
        <w:spacing w:after="0" w:line="13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Operating lease expense is recognized on a ratable basis, regardless of whether the payment terms require us to make payments annually, quarterly, monthly, or for the entire term in advance. Certain of our ground lease agreements contain fixed escalation clauses (such as fixed dollar or fixed percentage increases) or inflation-based escalation clauses (such as those tied to the change in CPI). If the payment terms include fixed escalator provisions, the effect of such increases is recognized on a straight-line basis. We calculate the straight-line expense over the contract's estimated lease term, including any renewal option periods that we deem reasonably certain to be exercised.</w:t>
      </w:r>
    </w:p>
    <w:p>
      <w:pPr>
        <w:spacing w:after="0" w:line="13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conjunction with the adoption of ASC 842, we recognized a right-of-use ("ROU") asset and lease liability for each of our operating leases. ROU assets represent our right to use an underlying asset for the lease term, and lease liabilities represent the present value of our future lease payments. In assessing our leases and determining our lease liability at lease commencement or upon modification, we are not able to readily determine the rate implicit for our lessee arrangements and thus use CCIC's incremental borrowing rate on a collateralized basis to determine the present value of the lease payments. Our ROU assets are measured as the balance of the lease liability plus any prepaid or accrued lease payments plus any unamortized initial direct costs.</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review the carrying value of our ROU assets for impairment, similar to our other long-lived assets, whenever events or changes in circumstances indicate that the carrying amounts may not be recoverable. We could record impairments in the future if there are changes in (1) long-term market conditions, (2) expected future operating results or (3) the utility of the assets that negatively impact the fair value of our ROU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w:t>
      </w:r>
    </w:p>
    <w:p>
      <w:pPr>
        <w:spacing w:after="0" w:line="3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 Existing information technology systems, review processes, and internal controls have been updated to align with the requirements of the new lease standard, which we adopted on January 1,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4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See the disclosure in note 7 to our condensed consolidated financial statements set forth in Part I, Item 1 of this Quarterly Report on Form 10-Q, which disclosure is hereby incorporated herein by reference.</w:t>
      </w:r>
    </w:p>
    <w:p>
      <w:pPr>
        <w:spacing w:after="0" w:line="3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jc w:val="both"/>
        <w:ind w:firstLine="392"/>
        <w:spacing w:after="0" w:line="257" w:lineRule="auto"/>
        <w:rPr>
          <w:sz w:val="20"/>
          <w:szCs w:val="20"/>
          <w:color w:val="auto"/>
        </w:rPr>
      </w:pPr>
      <w:r>
        <w:rPr>
          <w:rFonts w:ascii="Times New Roman" w:cs="Times New Roman" w:eastAsia="Times New Roman" w:hAnsi="Times New Roman"/>
          <w:sz w:val="18"/>
          <w:szCs w:val="18"/>
          <w:color w:val="auto"/>
        </w:rPr>
        <w:t>In Item 1A of our 2018 Form 10-K, we have previously included the risk factor captioned “</w:t>
      </w:r>
      <w:r>
        <w:rPr>
          <w:rFonts w:ascii="Times New Roman" w:cs="Times New Roman" w:eastAsia="Times New Roman" w:hAnsi="Times New Roman"/>
          <w:sz w:val="18"/>
          <w:szCs w:val="18"/>
          <w:b w:val="1"/>
          <w:bCs w:val="1"/>
          <w:i w:val="1"/>
          <w:iCs w:val="1"/>
          <w:color w:val="auto"/>
        </w:rPr>
        <w:t>A substantial portion of our revenues is derived from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small number of tenants, and the loss, consolidation or financial instability of any of such tenants may materially decrease revenues or reduce demand for our communications infrastructure and network services.</w:t>
      </w:r>
      <w:r>
        <w:rPr>
          <w:rFonts w:ascii="Times New Roman" w:cs="Times New Roman" w:eastAsia="Times New Roman" w:hAnsi="Times New Roman"/>
          <w:sz w:val="18"/>
          <w:szCs w:val="18"/>
          <w:color w:val="auto"/>
        </w:rPr>
        <w:t>” In light of the U.S. Department of Justice’s proposed settlement in July 2019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by the Federal Communications Commission in October 2019 regarding the merger between T-Mobile and Sprint, set forth below is certain updated information relating to that risk factor. You should carefully consider the information provided in this document and the risk factors contained in our 2018 Form 10-K, as updated by the information contained below.</w:t>
      </w:r>
    </w:p>
    <w:p>
      <w:pPr>
        <w:spacing w:after="0" w:line="187"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2019, T-Mobile and Sprint represented approximately 21% and 34%, respectively, of the Company's consolidated site rental revenues. In addition, there is an average of approximately six years of current term remaining on all lease agreements with both T-Mobile and Sprint. Further, the Company derived approximately 18% and 15% of its consolidated site rental revenues from T-Mobile and Sprint, respectively, on communications infrastructure where both carriers currently reside, inclusive of an approximately 2% impact from previously disclosed expected non-renewals from the anticipated decommissioning of portions of T-Mobile's MetroPCS and Sprint's Clearwire networks.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60" w:type="dxa"/>
            <w:vAlign w:val="bottom"/>
            <w:gridSpan w:val="10"/>
          </w:tcPr>
          <w:p>
            <w:pPr>
              <w:ind w:left="3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5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8"/>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5140" w:type="dxa"/>
            <w:vAlign w:val="bottom"/>
            <w:gridSpan w:val="6"/>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24"/>
                <w:szCs w:val="24"/>
                <w:color w:val="auto"/>
              </w:rPr>
            </w:pPr>
          </w:p>
        </w:tc>
        <w:tc>
          <w:tcPr>
            <w:tcW w:w="47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Certificate of Formation, as amended, of CC Holdings GS V LLC</w:t>
              </w:r>
            </w:hyperlink>
          </w:p>
        </w:tc>
        <w:tc>
          <w:tcPr>
            <w:tcW w:w="4980" w:type="dxa"/>
            <w:vAlign w:val="bottom"/>
            <w:gridSpan w:val="5"/>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4"/>
                <w:szCs w:val="24"/>
                <w:color w:val="auto"/>
              </w:rPr>
            </w:pPr>
          </w:p>
        </w:tc>
        <w:tc>
          <w:tcPr>
            <w:tcW w:w="71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Second Amended and Restated Limited Liability Company Agreement of CC Holdings GS V LLC</w:t>
              </w:r>
            </w:hyperlink>
          </w:p>
        </w:tc>
        <w:tc>
          <w:tcPr>
            <w:tcW w:w="2600" w:type="dxa"/>
            <w:vAlign w:val="bottom"/>
            <w:gridSpan w:val="2"/>
          </w:tcPr>
          <w:p>
            <w:pPr>
              <w:spacing w:after="0"/>
              <w:rPr>
                <w:sz w:val="24"/>
                <w:szCs w:val="24"/>
                <w:color w:val="auto"/>
              </w:rPr>
            </w:pPr>
          </w:p>
        </w:tc>
      </w:tr>
      <w:tr>
        <w:trPr>
          <w:trHeight w:val="372"/>
        </w:trPr>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24"/>
                <w:szCs w:val="24"/>
                <w:color w:val="auto"/>
              </w:rPr>
            </w:pPr>
          </w:p>
        </w:tc>
        <w:tc>
          <w:tcPr>
            <w:tcW w:w="9740" w:type="dxa"/>
            <w:vAlign w:val="bottom"/>
            <w:gridSpan w:val="9"/>
          </w:tcPr>
          <w:p>
            <w:pPr>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Certification of Chief Executive Officer pursuant to Section 302 of Sarbanes-Oxley Act of 2002</w:t>
              </w:r>
            </w:hyperlink>
          </w:p>
        </w:tc>
      </w:tr>
      <w:tr>
        <w:trPr>
          <w:trHeight w:val="372"/>
        </w:trPr>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tcPr>
          <w:p>
            <w:pPr>
              <w:spacing w:after="0"/>
              <w:rPr>
                <w:sz w:val="24"/>
                <w:szCs w:val="24"/>
                <w:color w:val="auto"/>
              </w:rPr>
            </w:pPr>
          </w:p>
        </w:tc>
        <w:tc>
          <w:tcPr>
            <w:tcW w:w="688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23">
              <w:r>
                <w:rPr>
                  <w:rFonts w:ascii="Times New Roman" w:cs="Times New Roman" w:eastAsia="Times New Roman" w:hAnsi="Times New Roman"/>
                  <w:sz w:val="18"/>
                  <w:szCs w:val="18"/>
                  <w:color w:val="0000FF"/>
                  <w:w w:val="99"/>
                </w:rPr>
                <w:t>Certification of Chief Financial Officer pursuant to Section 302 of Sarbanes-Oxley Act of 2002</w:t>
              </w:r>
            </w:hyperlink>
          </w:p>
        </w:tc>
        <w:tc>
          <w:tcPr>
            <w:tcW w:w="40" w:type="dxa"/>
            <w:vAlign w:val="bottom"/>
            <w:tcBorders>
              <w:top w:val="single" w:sz="8" w:color="0000FF"/>
            </w:tcBorders>
          </w:tcPr>
          <w:p>
            <w:pPr>
              <w:spacing w:after="0"/>
              <w:rPr>
                <w:sz w:val="24"/>
                <w:szCs w:val="24"/>
                <w:color w:val="auto"/>
              </w:rPr>
            </w:pPr>
          </w:p>
        </w:tc>
        <w:tc>
          <w:tcPr>
            <w:tcW w:w="2820" w:type="dxa"/>
            <w:vAlign w:val="bottom"/>
            <w:gridSpan w:val="3"/>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720" w:type="dxa"/>
            <w:vAlign w:val="bottom"/>
          </w:tcPr>
          <w:p>
            <w:pPr>
              <w:spacing w:after="0"/>
              <w:rPr>
                <w:sz w:val="24"/>
                <w:szCs w:val="24"/>
                <w:color w:val="auto"/>
              </w:rPr>
            </w:pPr>
          </w:p>
        </w:tc>
        <w:tc>
          <w:tcPr>
            <w:tcW w:w="9740" w:type="dxa"/>
            <w:vAlign w:val="bottom"/>
            <w:gridSpan w:val="9"/>
          </w:tcPr>
          <w:p>
            <w:pPr>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Certification of Chief Executive Officer and Chief Financial Officer pursuant to Section 906 of Sarbanes-Oxley Act of 2002</w:t>
              </w:r>
            </w:hyperlink>
          </w:p>
        </w:tc>
      </w:tr>
      <w:tr>
        <w:trPr>
          <w:trHeight w:val="20"/>
        </w:trPr>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940" w:type="dxa"/>
            <w:vAlign w:val="bottom"/>
            <w:gridSpan w:val="8"/>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7"/>
        </w:trPr>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The following financial statements from CC Holdings GS V LLC's Quarterly Report on Form 10-Q for the quarter ended September 30, 2019,</w:t>
            </w: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formatted in Inline XBRL: (i) Condensed Consolidated Balance Sheet, (ii) Condensed Consolidated Statement of Operations, (iii) Condensed</w:t>
            </w: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Consolidated Statement of Cash Flows, (iv) Condensed Consolidated Statement of Changes of Member's Equity, and (v) Notes to Condensed</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Consolidated Financial Statements, tagged as blocks of text and including detailed tags</w:t>
            </w:r>
          </w:p>
        </w:tc>
      </w:tr>
      <w:tr>
        <w:trPr>
          <w:trHeight w:val="574"/>
        </w:trPr>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The cover page from CC Holdings GS V LLC's Quarterly Report on Form 10-Q for the quarter ended September 30, 2019, formatted in Inline</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241300</wp:posOffset>
            </wp:positionV>
            <wp:extent cx="9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364"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7"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Incorporated by reference to the exhibit previously filed by the Registrant on Form S-4 (Registration No. 333-187970) on April 17, 2013.</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60" w:right="2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CC HOLDINGS GS V LLC</w:t>
      </w:r>
    </w:p>
    <w:p>
      <w:pPr>
        <w:spacing w:after="0" w:line="333" w:lineRule="exact"/>
        <w:rPr>
          <w:sz w:val="20"/>
          <w:szCs w:val="20"/>
          <w:color w:val="auto"/>
        </w:rPr>
      </w:pPr>
    </w:p>
    <w:p>
      <w:pPr>
        <w:ind w:left="1240"/>
        <w:spacing w:after="0"/>
        <w:tabs>
          <w:tab w:leader="none" w:pos="5900" w:val="left"/>
          <w:tab w:leader="none" w:pos="7400" w:val="left"/>
        </w:tabs>
        <w:rPr>
          <w:sz w:val="20"/>
          <w:szCs w:val="20"/>
          <w:color w:val="auto"/>
        </w:rPr>
      </w:pPr>
      <w:r>
        <w:rPr>
          <w:rFonts w:ascii="Times New Roman" w:cs="Times New Roman" w:eastAsia="Times New Roman" w:hAnsi="Times New Roman"/>
          <w:sz w:val="18"/>
          <w:szCs w:val="18"/>
          <w:color w:val="auto"/>
        </w:rPr>
        <w:t>Date: November 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0"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Daniel K. Schlanger</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18" w:lineRule="exact"/>
        <w:rPr>
          <w:sz w:val="20"/>
          <w:szCs w:val="20"/>
          <w:color w:val="auto"/>
        </w:rPr>
      </w:pPr>
    </w:p>
    <w:p>
      <w:pPr>
        <w:ind w:left="1240"/>
        <w:spacing w:after="0"/>
        <w:tabs>
          <w:tab w:leader="none" w:pos="5900" w:val="left"/>
          <w:tab w:leader="none" w:pos="7500" w:val="left"/>
        </w:tabs>
        <w:rPr>
          <w:sz w:val="20"/>
          <w:szCs w:val="20"/>
          <w:color w:val="auto"/>
        </w:rPr>
      </w:pPr>
      <w:r>
        <w:rPr>
          <w:rFonts w:ascii="Times New Roman" w:cs="Times New Roman" w:eastAsia="Times New Roman" w:hAnsi="Times New Roman"/>
          <w:sz w:val="18"/>
          <w:szCs w:val="18"/>
          <w:color w:val="auto"/>
        </w:rPr>
        <w:t>Date: November 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250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0"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Robert S. Collins</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Vice President and Controller</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CC Holdings GS V LLC (“registrant”);</w:t>
      </w:r>
    </w:p>
    <w:p>
      <w:pPr>
        <w:spacing w:after="0" w:line="171" w:lineRule="exact"/>
        <w:rPr>
          <w:rFonts w:ascii="Times New Roman" w:cs="Times New Roman" w:eastAsia="Times New Roman" w:hAnsi="Times New Roman"/>
          <w:sz w:val="18"/>
          <w:szCs w:val="18"/>
          <w:color w:val="auto"/>
        </w:rPr>
      </w:pPr>
    </w:p>
    <w:p>
      <w:pPr>
        <w:jc w:val="both"/>
        <w:ind w:left="660" w:right="22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0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2019</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2975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A. Brown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340"/>
          </w:cols>
          <w:pgMar w:left="240" w:top="57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CC Holdings GS V LLC (“registrant”);</w:t>
      </w:r>
    </w:p>
    <w:p>
      <w:pPr>
        <w:spacing w:after="0" w:line="171" w:lineRule="exact"/>
        <w:rPr>
          <w:rFonts w:ascii="Times New Roman" w:cs="Times New Roman" w:eastAsia="Times New Roman" w:hAnsi="Times New Roman"/>
          <w:sz w:val="18"/>
          <w:szCs w:val="18"/>
          <w:color w:val="auto"/>
        </w:rPr>
      </w:pPr>
    </w:p>
    <w:p>
      <w:pPr>
        <w:jc w:val="both"/>
        <w:ind w:left="660" w:right="2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0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2019</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34290</wp:posOffset>
            </wp:positionV>
            <wp:extent cx="3095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Daniel K. Schlanger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340"/>
          </w:cols>
          <w:pgMar w:left="240" w:top="576"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CC Holdings GS V LLC, a Delaware Corporation (“Company”), for the period ending September 30, 2019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80"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September 30, 2019 (the last date of the period covered by the Report).</w:t>
      </w:r>
    </w:p>
    <w:p>
      <w:pPr>
        <w:spacing w:after="0" w:line="27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696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Jay A. Brown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November 4, 2019</w:t>
      </w:r>
    </w:p>
    <w:p>
      <w:pPr>
        <w:spacing w:after="0" w:line="33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696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Daniel K. Schlanger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November 4, 2019</w:t>
      </w:r>
    </w:p>
    <w:p>
      <w:pPr>
        <w:spacing w:after="0" w:line="19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7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3"/>
    </w:lvl>
  </w:abstractNum>
  <w:abstractNum w:abstractNumId="1">
    <w:nsid w:val="25E45D32"/>
    <w:multiLevelType w:val="hybridMultilevel"/>
    <w:lvl w:ilvl="0">
      <w:lvlJc w:val="left"/>
      <w:lvlText w:val="(%1)"/>
      <w:numFmt w:val="lowerLetter"/>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6"/>
    </w:lvl>
  </w:abstractNum>
  <w:abstractNum w:abstractNumId="11">
    <w:nsid w:val="721DA317"/>
    <w:multiLevelType w:val="hybridMultilevel"/>
    <w:lvl w:ilvl="0">
      <w:lvlJc w:val="left"/>
      <w:lvlText w:val="%1."/>
      <w:numFmt w:val="decimal"/>
      <w:start w:val="7"/>
    </w:lvl>
  </w:abstractNum>
  <w:abstractNum w:abstractNumId="12">
    <w:nsid w:val="2443A858"/>
    <w:multiLevelType w:val="hybridMultilevel"/>
    <w:lvl w:ilvl="0">
      <w:lvlJc w:val="left"/>
      <w:lvlText w:val="%1."/>
      <w:numFmt w:val="decimal"/>
      <w:start w:val="8"/>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decimal"/>
      <w:start w:val="10"/>
    </w:lvl>
  </w:abstractNum>
  <w:abstractNum w:abstractNumId="19">
    <w:nsid w:val="B03E0C6"/>
    <w:multiLevelType w:val="hybridMultilevel"/>
    <w:lvl w:ilvl="0">
      <w:lvlJc w:val="left"/>
      <w:lvlText w:val="•"/>
      <w:numFmt w:val="bullet"/>
      <w:start w:val="1"/>
    </w:lvl>
    <w:lvl w:ilvl="1">
      <w:lvlJc w:val="left"/>
      <w:lvlText w:val="◦"/>
      <w:numFmt w:val="bullet"/>
      <w:start w:val="1"/>
    </w:lvl>
  </w:abstractNum>
  <w:abstractNum w:abstractNumId="20">
    <w:nsid w:val="189A769B"/>
    <w:multiLevelType w:val="hybridMultilevel"/>
    <w:lvl w:ilvl="0">
      <w:lvlJc w:val="left"/>
      <w:lvlText w:val="•"/>
      <w:numFmt w:val="bullet"/>
      <w:start w:val="1"/>
    </w:lvl>
    <w:lvl w:ilvl="1">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Archives/edgar/data/1574211/000119312513158983/d519395dex31.htm" TargetMode="External"/><Relationship Id="rId13" Type="http://schemas.openxmlformats.org/officeDocument/2006/relationships/hyperlink" Target="http://www.sec.gov/Archives/edgar/data/1574211/000119312513158983/d5193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2019-12-28T02:59:25Z</dcterms:created>
  <dcterms:modified xsi:type="dcterms:W3CDTF">2019-12-28T02:59:25Z</dcterms:modified>
</cp:coreProperties>
</file>